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61C8A04E" w:rsidR="00E56AD2" w:rsidRDefault="00564928" w:rsidP="00DE15F0">
      <w:pPr>
        <w:jc w:val="center"/>
        <w:rPr>
          <w:rFonts w:cstheme="minorHAnsi"/>
          <w:b/>
          <w:szCs w:val="22"/>
        </w:rPr>
      </w:pPr>
      <w:r>
        <w:rPr>
          <w:rFonts w:cstheme="minorHAnsi"/>
          <w:b/>
          <w:szCs w:val="22"/>
        </w:rPr>
        <w:t>DYADIC INTERVIEW</w:t>
      </w:r>
      <w:r w:rsidR="00E032D9">
        <w:rPr>
          <w:rFonts w:cstheme="minorHAnsi"/>
          <w:b/>
          <w:szCs w:val="22"/>
        </w:rPr>
        <w:t>S</w:t>
      </w:r>
    </w:p>
    <w:p w14:paraId="68BAABF9" w14:textId="77777777" w:rsidR="009A631F" w:rsidRDefault="009A631F" w:rsidP="00DE15F0">
      <w:pPr>
        <w:jc w:val="center"/>
        <w:rPr>
          <w:rFonts w:cstheme="minorHAnsi"/>
          <w:b/>
          <w:szCs w:val="22"/>
        </w:rPr>
      </w:pPr>
    </w:p>
    <w:p w14:paraId="604450A7" w14:textId="7140E61B" w:rsidR="009A631F" w:rsidRPr="00611A18" w:rsidRDefault="009A631F" w:rsidP="00DE15F0">
      <w:pPr>
        <w:jc w:val="center"/>
        <w:rPr>
          <w:rFonts w:cstheme="minorHAnsi"/>
          <w:b/>
          <w:szCs w:val="22"/>
        </w:rPr>
      </w:pPr>
      <w:r w:rsidRPr="009A631F">
        <w:rPr>
          <w:rFonts w:cstheme="minorHAnsi"/>
          <w:b/>
          <w:szCs w:val="22"/>
        </w:rPr>
        <w:t>by Simon Moss</w:t>
      </w: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3DDC0560" w:rsidR="00E56AD2" w:rsidRDefault="00E56AD2" w:rsidP="00DE15F0">
      <w:pPr>
        <w:rPr>
          <w:rFonts w:cstheme="minorHAnsi"/>
          <w:szCs w:val="22"/>
        </w:rPr>
      </w:pPr>
    </w:p>
    <w:p w14:paraId="1B5BB598" w14:textId="77777777" w:rsidR="00E032D9" w:rsidRDefault="00E032D9" w:rsidP="00DE15F0">
      <w:pPr>
        <w:rPr>
          <w:rFonts w:cstheme="minorHAnsi"/>
          <w:szCs w:val="22"/>
        </w:rPr>
      </w:pPr>
      <w:r>
        <w:rPr>
          <w:rFonts w:cstheme="minorHAnsi"/>
          <w:szCs w:val="22"/>
        </w:rPr>
        <w:tab/>
        <w:t>Researchers who speak to their participants tend to adopt one of two approaches.  In particular, they either</w:t>
      </w:r>
    </w:p>
    <w:p w14:paraId="750E15BD" w14:textId="77777777" w:rsidR="00E032D9" w:rsidRDefault="00E032D9" w:rsidP="00DE15F0">
      <w:pPr>
        <w:rPr>
          <w:rFonts w:cstheme="minorHAnsi"/>
          <w:szCs w:val="22"/>
        </w:rPr>
      </w:pPr>
    </w:p>
    <w:p w14:paraId="3CC7083F" w14:textId="691C85D7" w:rsidR="00564928" w:rsidRDefault="0072383F" w:rsidP="00E032D9">
      <w:pPr>
        <w:pStyle w:val="ListParagraph"/>
        <w:numPr>
          <w:ilvl w:val="0"/>
          <w:numId w:val="7"/>
        </w:numPr>
        <w:rPr>
          <w:rFonts w:cstheme="minorHAnsi"/>
          <w:szCs w:val="22"/>
        </w:rPr>
      </w:pPr>
      <w:r>
        <w:rPr>
          <w:rFonts w:cstheme="minorHAnsi"/>
          <w:szCs w:val="22"/>
        </w:rPr>
        <w:t>c</w:t>
      </w:r>
      <w:r w:rsidR="00E032D9">
        <w:rPr>
          <w:rFonts w:cstheme="minorHAnsi"/>
          <w:szCs w:val="22"/>
        </w:rPr>
        <w:t xml:space="preserve">onduct </w:t>
      </w:r>
      <w:r>
        <w:rPr>
          <w:rFonts w:cstheme="minorHAnsi"/>
          <w:szCs w:val="22"/>
        </w:rPr>
        <w:t>interviews with each participant separately, or</w:t>
      </w:r>
    </w:p>
    <w:p w14:paraId="064777DA" w14:textId="0B86FAC3" w:rsidR="0072383F" w:rsidRDefault="0072383F" w:rsidP="00E032D9">
      <w:pPr>
        <w:pStyle w:val="ListParagraph"/>
        <w:numPr>
          <w:ilvl w:val="0"/>
          <w:numId w:val="7"/>
        </w:numPr>
        <w:rPr>
          <w:rFonts w:cstheme="minorHAnsi"/>
          <w:szCs w:val="22"/>
        </w:rPr>
      </w:pPr>
      <w:r>
        <w:rPr>
          <w:rFonts w:cstheme="minorHAnsi"/>
          <w:szCs w:val="22"/>
        </w:rPr>
        <w:t>facilitate focus groups</w:t>
      </w:r>
      <w:r w:rsidR="00752B37">
        <w:rPr>
          <w:rFonts w:cstheme="minorHAnsi"/>
          <w:szCs w:val="22"/>
        </w:rPr>
        <w:t xml:space="preserve"> with several participants at the same time.</w:t>
      </w:r>
    </w:p>
    <w:p w14:paraId="544EBF70" w14:textId="0471B07A" w:rsidR="00752B37" w:rsidRDefault="00752B37" w:rsidP="00752B37">
      <w:pPr>
        <w:rPr>
          <w:rFonts w:cstheme="minorHAnsi"/>
          <w:szCs w:val="22"/>
        </w:rPr>
      </w:pPr>
    </w:p>
    <w:p w14:paraId="188BEAE6" w14:textId="1FC10B53" w:rsidR="00752B37" w:rsidRPr="00752B37" w:rsidRDefault="00752B37" w:rsidP="005123A5">
      <w:pPr>
        <w:ind w:firstLine="360"/>
        <w:rPr>
          <w:rFonts w:cstheme="minorHAnsi"/>
          <w:szCs w:val="22"/>
        </w:rPr>
      </w:pPr>
      <w:r>
        <w:rPr>
          <w:rFonts w:cstheme="minorHAnsi"/>
          <w:szCs w:val="22"/>
        </w:rPr>
        <w:t xml:space="preserve">Dyadic interviewing, </w:t>
      </w:r>
      <w:r w:rsidR="00C6593E">
        <w:rPr>
          <w:rFonts w:cstheme="minorHAnsi"/>
          <w:szCs w:val="22"/>
        </w:rPr>
        <w:t>in which one researcher interviews two participants at the same time, is not as prevalent.</w:t>
      </w:r>
      <w:r w:rsidR="005123A5">
        <w:rPr>
          <w:rFonts w:cstheme="minorHAnsi"/>
          <w:szCs w:val="22"/>
        </w:rPr>
        <w:t xml:space="preserve">  </w:t>
      </w:r>
      <w:r w:rsidR="008C31C4">
        <w:rPr>
          <w:rFonts w:cstheme="minorHAnsi"/>
          <w:szCs w:val="22"/>
        </w:rPr>
        <w:t>However, dyadic interviews generate some distinct benefits</w:t>
      </w:r>
      <w:r w:rsidR="005123A5">
        <w:rPr>
          <w:rFonts w:cstheme="minorHAnsi"/>
          <w:szCs w:val="22"/>
        </w:rPr>
        <w:t>.</w:t>
      </w:r>
      <w:r w:rsidR="008C31C4">
        <w:rPr>
          <w:rFonts w:cstheme="minorHAnsi"/>
          <w:szCs w:val="22"/>
        </w:rPr>
        <w:t xml:space="preserve">  </w:t>
      </w:r>
      <w:r w:rsidR="00C6593E">
        <w:rPr>
          <w:rFonts w:cstheme="minorHAnsi"/>
          <w:szCs w:val="22"/>
        </w:rPr>
        <w:t xml:space="preserve">   </w:t>
      </w:r>
    </w:p>
    <w:p w14:paraId="5FB33A8A" w14:textId="7159B710" w:rsidR="00564928" w:rsidRDefault="00564928" w:rsidP="00DE15F0">
      <w:pPr>
        <w:rPr>
          <w:rFonts w:cstheme="minorHAnsi"/>
          <w:szCs w:val="22"/>
        </w:rPr>
      </w:pPr>
    </w:p>
    <w:p w14:paraId="19D0CA64" w14:textId="4DE7150F" w:rsidR="005123A5" w:rsidRDefault="005123A5" w:rsidP="00DE15F0">
      <w:pPr>
        <w:rPr>
          <w:rFonts w:cstheme="minorHAnsi"/>
          <w:szCs w:val="22"/>
        </w:rPr>
      </w:pPr>
      <w:r>
        <w:rPr>
          <w:rFonts w:cstheme="minorHAnsi"/>
          <w:b/>
          <w:szCs w:val="22"/>
        </w:rPr>
        <w:t>Pre-existing versus unfamiliar dyads</w:t>
      </w:r>
    </w:p>
    <w:p w14:paraId="351FC9B9" w14:textId="1F8A9FEA" w:rsidR="005123A5" w:rsidRDefault="005123A5" w:rsidP="00DE15F0">
      <w:pPr>
        <w:rPr>
          <w:rFonts w:cstheme="minorHAnsi"/>
          <w:szCs w:val="22"/>
        </w:rPr>
      </w:pPr>
    </w:p>
    <w:p w14:paraId="2425A874" w14:textId="614C881D" w:rsidR="005123A5" w:rsidRDefault="005123A5" w:rsidP="00DE15F0">
      <w:pPr>
        <w:rPr>
          <w:rFonts w:cstheme="minorHAnsi"/>
          <w:szCs w:val="22"/>
        </w:rPr>
      </w:pPr>
      <w:r>
        <w:rPr>
          <w:rFonts w:cstheme="minorHAnsi"/>
          <w:szCs w:val="22"/>
        </w:rPr>
        <w:tab/>
        <w:t xml:space="preserve">Admittedly, </w:t>
      </w:r>
      <w:r w:rsidR="00F068C5">
        <w:rPr>
          <w:rFonts w:cstheme="minorHAnsi"/>
          <w:szCs w:val="22"/>
        </w:rPr>
        <w:t>for several</w:t>
      </w:r>
      <w:r w:rsidR="00D16D8E">
        <w:rPr>
          <w:rFonts w:cstheme="minorHAnsi"/>
          <w:szCs w:val="22"/>
        </w:rPr>
        <w:t xml:space="preserve"> decades, many researchers </w:t>
      </w:r>
      <w:r w:rsidR="00F068C5">
        <w:rPr>
          <w:rFonts w:cstheme="minorHAnsi"/>
          <w:szCs w:val="22"/>
        </w:rPr>
        <w:t xml:space="preserve">have </w:t>
      </w:r>
      <w:r w:rsidR="00D16D8E">
        <w:rPr>
          <w:rFonts w:cstheme="minorHAnsi"/>
          <w:szCs w:val="22"/>
        </w:rPr>
        <w:t>conduct</w:t>
      </w:r>
      <w:r w:rsidR="00F068C5">
        <w:rPr>
          <w:rFonts w:cstheme="minorHAnsi"/>
          <w:szCs w:val="22"/>
        </w:rPr>
        <w:t>ed</w:t>
      </w:r>
      <w:r w:rsidR="00D16D8E">
        <w:rPr>
          <w:rFonts w:cstheme="minorHAnsi"/>
          <w:szCs w:val="22"/>
        </w:rPr>
        <w:t xml:space="preserve"> interviews with pre-existing dyads—such as romantic partners, caregivers and their clients, parents and their children, and so forth.</w:t>
      </w:r>
      <w:r w:rsidR="00F068C5">
        <w:rPr>
          <w:rFonts w:cstheme="minorHAnsi"/>
          <w:szCs w:val="22"/>
        </w:rPr>
        <w:t xml:space="preserve">  However, only in more recent years have researchers conducted interviews with unfamiliar dyads—pairs of individuals who had not met previously</w:t>
      </w:r>
      <w:r w:rsidR="0092768E">
        <w:rPr>
          <w:rFonts w:cstheme="minorHAnsi"/>
          <w:szCs w:val="22"/>
        </w:rPr>
        <w:t xml:space="preserve"> (see </w:t>
      </w:r>
      <w:r w:rsidR="0092768E" w:rsidRPr="0092768E">
        <w:rPr>
          <w:rFonts w:cstheme="minorHAnsi"/>
          <w:szCs w:val="22"/>
        </w:rPr>
        <w:t>Caldwell, 2014</w:t>
      </w:r>
      <w:r w:rsidR="0092768E">
        <w:rPr>
          <w:rFonts w:cstheme="minorHAnsi"/>
          <w:szCs w:val="22"/>
        </w:rPr>
        <w:t>)</w:t>
      </w:r>
      <w:r w:rsidR="00F068C5">
        <w:rPr>
          <w:rFonts w:cstheme="minorHAnsi"/>
          <w:szCs w:val="22"/>
        </w:rPr>
        <w:t xml:space="preserve">.  This </w:t>
      </w:r>
      <w:r w:rsidR="00ED60C7">
        <w:rPr>
          <w:rFonts w:cstheme="minorHAnsi"/>
          <w:szCs w:val="22"/>
        </w:rPr>
        <w:t>document primarily revolves around studies in which the dyads are unfamiliar with each other</w:t>
      </w:r>
    </w:p>
    <w:p w14:paraId="5A666ECA" w14:textId="77777777" w:rsidR="00ED60C7" w:rsidRPr="00611A18" w:rsidRDefault="00ED60C7" w:rsidP="00ED60C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D60C7" w:rsidRPr="00611A18" w14:paraId="0EEFFB5F" w14:textId="77777777" w:rsidTr="00BB30F9">
        <w:tc>
          <w:tcPr>
            <w:tcW w:w="9010" w:type="dxa"/>
            <w:shd w:val="clear" w:color="auto" w:fill="BDD6EE" w:themeFill="accent5" w:themeFillTint="66"/>
          </w:tcPr>
          <w:p w14:paraId="26B528EE" w14:textId="2F1F335B" w:rsidR="00ED60C7" w:rsidRPr="00611A18" w:rsidRDefault="00ED60C7" w:rsidP="00BB30F9">
            <w:pPr>
              <w:jc w:val="center"/>
              <w:rPr>
                <w:rFonts w:cstheme="minorHAnsi"/>
                <w:b/>
              </w:rPr>
            </w:pPr>
            <w:r>
              <w:rPr>
                <w:rFonts w:cstheme="minorHAnsi"/>
                <w:b/>
              </w:rPr>
              <w:t>Benefits of dyadic interviews</w:t>
            </w:r>
          </w:p>
        </w:tc>
      </w:tr>
    </w:tbl>
    <w:p w14:paraId="278B14E0" w14:textId="5B020326" w:rsidR="00ED60C7" w:rsidRDefault="00ED60C7" w:rsidP="00ED60C7">
      <w:pPr>
        <w:rPr>
          <w:rFonts w:cstheme="minorHAnsi"/>
          <w:szCs w:val="22"/>
        </w:rPr>
      </w:pPr>
    </w:p>
    <w:p w14:paraId="773FA184" w14:textId="53D8EA61" w:rsidR="00ED60C7" w:rsidRPr="00ED60C7" w:rsidRDefault="00ED60C7" w:rsidP="00ED60C7">
      <w:pPr>
        <w:rPr>
          <w:rFonts w:cstheme="minorHAnsi"/>
          <w:b/>
          <w:szCs w:val="22"/>
        </w:rPr>
      </w:pPr>
      <w:r>
        <w:rPr>
          <w:rFonts w:cstheme="minorHAnsi"/>
          <w:b/>
          <w:szCs w:val="22"/>
        </w:rPr>
        <w:t xml:space="preserve">Benefits of dyadic interviews </w:t>
      </w:r>
      <w:r w:rsidR="00001E53">
        <w:rPr>
          <w:rFonts w:cstheme="minorHAnsi"/>
          <w:b/>
          <w:szCs w:val="22"/>
        </w:rPr>
        <w:t>over</w:t>
      </w:r>
      <w:r>
        <w:rPr>
          <w:rFonts w:cstheme="minorHAnsi"/>
          <w:b/>
          <w:szCs w:val="22"/>
        </w:rPr>
        <w:t xml:space="preserve"> individual interviews</w:t>
      </w:r>
    </w:p>
    <w:p w14:paraId="41D66ED3" w14:textId="2B2040F0" w:rsidR="00ED60C7" w:rsidRDefault="00ED60C7" w:rsidP="00DE15F0">
      <w:pPr>
        <w:rPr>
          <w:rFonts w:cstheme="minorHAnsi"/>
          <w:szCs w:val="22"/>
        </w:rPr>
      </w:pPr>
    </w:p>
    <w:p w14:paraId="0F67EE1D" w14:textId="51A564CD" w:rsidR="00ED60C7" w:rsidRPr="005123A5" w:rsidRDefault="00ED60C7" w:rsidP="00DE15F0">
      <w:pPr>
        <w:rPr>
          <w:rFonts w:cstheme="minorHAnsi"/>
          <w:szCs w:val="22"/>
        </w:rPr>
      </w:pPr>
      <w:r>
        <w:rPr>
          <w:rFonts w:cstheme="minorHAnsi"/>
          <w:szCs w:val="22"/>
        </w:rPr>
        <w:tab/>
        <w:t>Dyadic interviews generate a variety of benefits over individual interviews</w:t>
      </w:r>
      <w:r w:rsidR="002601ED">
        <w:rPr>
          <w:rFonts w:cstheme="minorHAnsi"/>
          <w:szCs w:val="22"/>
        </w:rPr>
        <w:t xml:space="preserve">. </w:t>
      </w:r>
      <w:r w:rsidR="001A48DE">
        <w:rPr>
          <w:rFonts w:cstheme="minorHAnsi"/>
          <w:szCs w:val="22"/>
        </w:rPr>
        <w:t xml:space="preserve"> The following table outlines these benefits.  </w:t>
      </w:r>
      <w:r w:rsidR="002601ED">
        <w:rPr>
          <w:rFonts w:cstheme="minorHAnsi"/>
          <w:szCs w:val="22"/>
        </w:rPr>
        <w:t xml:space="preserve"> </w:t>
      </w:r>
    </w:p>
    <w:p w14:paraId="4AE1551A" w14:textId="77777777" w:rsidR="001A48DE" w:rsidRDefault="001A48DE" w:rsidP="001A48DE">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1A48DE" w:rsidRPr="00611A18" w14:paraId="632013A0" w14:textId="77777777" w:rsidTr="002E12A0">
        <w:tc>
          <w:tcPr>
            <w:tcW w:w="4081" w:type="dxa"/>
            <w:shd w:val="clear" w:color="auto" w:fill="BDD6EE" w:themeFill="accent5" w:themeFillTint="66"/>
          </w:tcPr>
          <w:p w14:paraId="00C90473" w14:textId="3E835A22" w:rsidR="001A48DE" w:rsidRPr="00611A18" w:rsidRDefault="001A48DE" w:rsidP="00BB30F9">
            <w:pPr>
              <w:jc w:val="center"/>
              <w:rPr>
                <w:rFonts w:cstheme="minorHAnsi"/>
              </w:rPr>
            </w:pPr>
            <w:r>
              <w:rPr>
                <w:rFonts w:cstheme="minorHAnsi"/>
              </w:rPr>
              <w:t>Benefit</w:t>
            </w:r>
          </w:p>
        </w:tc>
        <w:tc>
          <w:tcPr>
            <w:tcW w:w="4879" w:type="dxa"/>
            <w:shd w:val="clear" w:color="auto" w:fill="BDD6EE" w:themeFill="accent5" w:themeFillTint="66"/>
          </w:tcPr>
          <w:p w14:paraId="69D673A9" w14:textId="3A37A135" w:rsidR="001A48DE" w:rsidRPr="00611A18" w:rsidRDefault="001A48DE" w:rsidP="00BB30F9">
            <w:pPr>
              <w:jc w:val="center"/>
              <w:rPr>
                <w:rFonts w:cstheme="minorHAnsi"/>
              </w:rPr>
            </w:pPr>
            <w:r>
              <w:rPr>
                <w:rFonts w:cstheme="minorHAnsi"/>
              </w:rPr>
              <w:t>Details</w:t>
            </w:r>
          </w:p>
        </w:tc>
      </w:tr>
      <w:tr w:rsidR="001A48DE" w:rsidRPr="006D7FC9" w14:paraId="3FF725BB" w14:textId="77777777" w:rsidTr="002E12A0">
        <w:tc>
          <w:tcPr>
            <w:tcW w:w="4081" w:type="dxa"/>
            <w:shd w:val="clear" w:color="auto" w:fill="D9D9D9" w:themeFill="background1" w:themeFillShade="D9"/>
          </w:tcPr>
          <w:p w14:paraId="609DDD48" w14:textId="40F1C187" w:rsidR="001A48DE" w:rsidRPr="00611A18" w:rsidRDefault="001A48DE" w:rsidP="001A48DE">
            <w:pPr>
              <w:rPr>
                <w:rFonts w:cstheme="minorHAnsi"/>
              </w:rPr>
            </w:pPr>
            <w:r w:rsidRPr="008E610A">
              <w:rPr>
                <w:rFonts w:cstheme="minorHAnsi"/>
                <w:b/>
              </w:rPr>
              <w:t>Sharing</w:t>
            </w:r>
            <w:r w:rsidR="008E610A" w:rsidRPr="008E610A">
              <w:rPr>
                <w:rFonts w:cstheme="minorHAnsi"/>
                <w:b/>
              </w:rPr>
              <w:t xml:space="preserve"> and extending</w:t>
            </w:r>
            <w:r>
              <w:rPr>
                <w:rFonts w:cstheme="minorHAnsi"/>
              </w:rPr>
              <w:t xml:space="preserve">: One person can extend the suggestions or perspective the other person poses </w:t>
            </w:r>
            <w:r w:rsidRPr="00044AE1">
              <w:rPr>
                <w:rFonts w:cstheme="minorHAnsi"/>
              </w:rPr>
              <w:t xml:space="preserve">  </w:t>
            </w:r>
          </w:p>
        </w:tc>
        <w:tc>
          <w:tcPr>
            <w:tcW w:w="4879" w:type="dxa"/>
            <w:shd w:val="clear" w:color="auto" w:fill="D9D9D9" w:themeFill="background1" w:themeFillShade="D9"/>
          </w:tcPr>
          <w:p w14:paraId="233EEC2C" w14:textId="318CE61A" w:rsidR="001A48DE" w:rsidRPr="001A48DE" w:rsidRDefault="001A48DE" w:rsidP="001A48DE">
            <w:pPr>
              <w:pStyle w:val="ListParagraph"/>
              <w:numPr>
                <w:ilvl w:val="0"/>
                <w:numId w:val="8"/>
              </w:numPr>
              <w:rPr>
                <w:rFonts w:cstheme="minorHAnsi"/>
              </w:rPr>
            </w:pPr>
            <w:r>
              <w:rPr>
                <w:rFonts w:cstheme="minorHAnsi"/>
              </w:rPr>
              <w:t>The answers of participants might thus explore issues in greater depth</w:t>
            </w:r>
          </w:p>
        </w:tc>
      </w:tr>
      <w:tr w:rsidR="001A48DE" w:rsidRPr="006D7FC9" w14:paraId="768522D2" w14:textId="77777777" w:rsidTr="002E12A0">
        <w:tc>
          <w:tcPr>
            <w:tcW w:w="4081" w:type="dxa"/>
            <w:shd w:val="clear" w:color="auto" w:fill="D9D9D9" w:themeFill="background1" w:themeFillShade="D9"/>
          </w:tcPr>
          <w:p w14:paraId="076F574C" w14:textId="71100F3D" w:rsidR="001A48DE" w:rsidRDefault="001A48DE" w:rsidP="001A48DE">
            <w:pPr>
              <w:rPr>
                <w:rFonts w:cstheme="minorHAnsi"/>
              </w:rPr>
            </w:pPr>
            <w:r w:rsidRPr="008E610A">
              <w:rPr>
                <w:rFonts w:cstheme="minorHAnsi"/>
                <w:b/>
              </w:rPr>
              <w:t>Comparing</w:t>
            </w:r>
            <w:r>
              <w:rPr>
                <w:rFonts w:cstheme="minorHAnsi"/>
              </w:rPr>
              <w:t xml:space="preserve">: The two </w:t>
            </w:r>
            <w:r w:rsidR="002E12A0">
              <w:rPr>
                <w:rFonts w:cstheme="minorHAnsi"/>
              </w:rPr>
              <w:t xml:space="preserve">participants </w:t>
            </w:r>
            <w:r>
              <w:rPr>
                <w:rFonts w:cstheme="minorHAnsi"/>
              </w:rPr>
              <w:t xml:space="preserve">may </w:t>
            </w:r>
            <w:r w:rsidR="00475056">
              <w:rPr>
                <w:rFonts w:cstheme="minorHAnsi"/>
              </w:rPr>
              <w:t>express or recognize disparate</w:t>
            </w:r>
            <w:r>
              <w:rPr>
                <w:rFonts w:cstheme="minorHAnsi"/>
              </w:rPr>
              <w:t xml:space="preserve"> opinions and perspectives</w:t>
            </w:r>
          </w:p>
        </w:tc>
        <w:tc>
          <w:tcPr>
            <w:tcW w:w="4879" w:type="dxa"/>
            <w:shd w:val="clear" w:color="auto" w:fill="D9D9D9" w:themeFill="background1" w:themeFillShade="D9"/>
          </w:tcPr>
          <w:p w14:paraId="5574A259" w14:textId="620199DB" w:rsidR="001A48DE" w:rsidRPr="001A48DE" w:rsidRDefault="00475056" w:rsidP="001A48DE">
            <w:pPr>
              <w:pStyle w:val="ListParagraph"/>
              <w:numPr>
                <w:ilvl w:val="0"/>
                <w:numId w:val="8"/>
              </w:numPr>
              <w:rPr>
                <w:rFonts w:cstheme="minorHAnsi"/>
              </w:rPr>
            </w:pPr>
            <w:r>
              <w:rPr>
                <w:rFonts w:cstheme="minorHAnsi"/>
              </w:rPr>
              <w:t>These disparate positions can generate richer and more nuanced insights about some issue</w:t>
            </w:r>
          </w:p>
        </w:tc>
      </w:tr>
      <w:tr w:rsidR="001A48DE" w14:paraId="4612C11D" w14:textId="77777777" w:rsidTr="002E12A0">
        <w:tc>
          <w:tcPr>
            <w:tcW w:w="4081" w:type="dxa"/>
            <w:shd w:val="clear" w:color="auto" w:fill="D9D9D9" w:themeFill="background1" w:themeFillShade="D9"/>
          </w:tcPr>
          <w:p w14:paraId="6C95C11B" w14:textId="464EF445" w:rsidR="001A48DE" w:rsidRPr="00B20522" w:rsidRDefault="00B20522" w:rsidP="001A48DE">
            <w:pPr>
              <w:rPr>
                <w:rFonts w:cstheme="minorHAnsi"/>
              </w:rPr>
            </w:pPr>
            <w:r>
              <w:rPr>
                <w:rFonts w:cstheme="minorHAnsi"/>
                <w:b/>
              </w:rPr>
              <w:lastRenderedPageBreak/>
              <w:t>Conversation and networking</w:t>
            </w:r>
            <w:r>
              <w:rPr>
                <w:rFonts w:cstheme="minorHAnsi"/>
              </w:rPr>
              <w:t xml:space="preserve">: </w:t>
            </w:r>
            <w:r w:rsidR="002E12A0">
              <w:rPr>
                <w:rFonts w:cstheme="minorHAnsi"/>
              </w:rPr>
              <w:t>The two participants</w:t>
            </w:r>
            <w:r>
              <w:rPr>
                <w:rFonts w:cstheme="minorHAnsi"/>
              </w:rPr>
              <w:t xml:space="preserve"> </w:t>
            </w:r>
            <w:r w:rsidR="002E12A0">
              <w:rPr>
                <w:rFonts w:cstheme="minorHAnsi"/>
              </w:rPr>
              <w:t>might appreciate the opportunity to share their perspectives</w:t>
            </w:r>
          </w:p>
        </w:tc>
        <w:tc>
          <w:tcPr>
            <w:tcW w:w="4879" w:type="dxa"/>
            <w:shd w:val="clear" w:color="auto" w:fill="D9D9D9" w:themeFill="background1" w:themeFillShade="D9"/>
          </w:tcPr>
          <w:p w14:paraId="740EA1C1" w14:textId="07DADF15" w:rsidR="002E12A0" w:rsidRDefault="002E12A0" w:rsidP="002E12A0">
            <w:pPr>
              <w:pStyle w:val="ListParagraph"/>
              <w:numPr>
                <w:ilvl w:val="0"/>
                <w:numId w:val="8"/>
              </w:numPr>
              <w:rPr>
                <w:rFonts w:cstheme="minorHAnsi"/>
              </w:rPr>
            </w:pPr>
            <w:r>
              <w:rPr>
                <w:rFonts w:cstheme="minorHAnsi"/>
              </w:rPr>
              <w:t>Participants might not have been granted the opportunity to discuss these issues previously</w:t>
            </w:r>
          </w:p>
          <w:p w14:paraId="481E1B86" w14:textId="1951D96B" w:rsidR="001A48DE" w:rsidRPr="002E12A0" w:rsidRDefault="002E12A0" w:rsidP="002E12A0">
            <w:pPr>
              <w:pStyle w:val="ListParagraph"/>
              <w:numPr>
                <w:ilvl w:val="0"/>
                <w:numId w:val="8"/>
              </w:numPr>
              <w:rPr>
                <w:rFonts w:cstheme="minorHAnsi"/>
              </w:rPr>
            </w:pPr>
            <w:r>
              <w:rPr>
                <w:rFonts w:cstheme="minorHAnsi"/>
              </w:rPr>
              <w:t>Sometimes, after the session, the participants might exchange business cards</w:t>
            </w:r>
          </w:p>
        </w:tc>
      </w:tr>
      <w:tr w:rsidR="001A48DE" w14:paraId="6788E0EE" w14:textId="77777777" w:rsidTr="002E12A0">
        <w:tc>
          <w:tcPr>
            <w:tcW w:w="4081" w:type="dxa"/>
            <w:shd w:val="clear" w:color="auto" w:fill="D9D9D9" w:themeFill="background1" w:themeFillShade="D9"/>
          </w:tcPr>
          <w:p w14:paraId="588762C8" w14:textId="3E8FD486" w:rsidR="001A48DE" w:rsidRPr="002E12A0" w:rsidRDefault="002E12A0" w:rsidP="001A48DE">
            <w:pPr>
              <w:rPr>
                <w:rFonts w:cstheme="minorHAnsi"/>
              </w:rPr>
            </w:pPr>
            <w:r>
              <w:rPr>
                <w:rFonts w:cstheme="minorHAnsi"/>
                <w:b/>
              </w:rPr>
              <w:t xml:space="preserve">Opportunity to reflect.  </w:t>
            </w:r>
            <w:r>
              <w:rPr>
                <w:rFonts w:cstheme="minorHAnsi"/>
              </w:rPr>
              <w:t>Participants are granted some opportunity to contemplate their answers while the other person is speaking</w:t>
            </w:r>
          </w:p>
        </w:tc>
        <w:tc>
          <w:tcPr>
            <w:tcW w:w="4879" w:type="dxa"/>
            <w:shd w:val="clear" w:color="auto" w:fill="D9D9D9" w:themeFill="background1" w:themeFillShade="D9"/>
          </w:tcPr>
          <w:p w14:paraId="513E5176" w14:textId="780B1079" w:rsidR="001A48DE" w:rsidRDefault="002E12A0" w:rsidP="002E12A0">
            <w:pPr>
              <w:pStyle w:val="ListParagraph"/>
              <w:numPr>
                <w:ilvl w:val="0"/>
                <w:numId w:val="9"/>
              </w:numPr>
              <w:rPr>
                <w:rFonts w:cstheme="minorHAnsi"/>
              </w:rPr>
            </w:pPr>
            <w:r>
              <w:rPr>
                <w:rFonts w:cstheme="minorHAnsi"/>
              </w:rPr>
              <w:t xml:space="preserve">During interviews with only one </w:t>
            </w:r>
            <w:r w:rsidR="008879B2">
              <w:rPr>
                <w:rFonts w:cstheme="minorHAnsi"/>
              </w:rPr>
              <w:t>participant</w:t>
            </w:r>
            <w:r>
              <w:rPr>
                <w:rFonts w:cstheme="minorHAnsi"/>
              </w:rPr>
              <w:t>, th</w:t>
            </w:r>
            <w:r w:rsidR="008879B2">
              <w:rPr>
                <w:rFonts w:cstheme="minorHAnsi"/>
              </w:rPr>
              <w:t>is</w:t>
            </w:r>
            <w:r>
              <w:rPr>
                <w:rFonts w:cstheme="minorHAnsi"/>
              </w:rPr>
              <w:t xml:space="preserve"> p</w:t>
            </w:r>
            <w:r w:rsidR="008879B2">
              <w:rPr>
                <w:rFonts w:cstheme="minorHAnsi"/>
              </w:rPr>
              <w:t>erson</w:t>
            </w:r>
            <w:r>
              <w:rPr>
                <w:rFonts w:cstheme="minorHAnsi"/>
              </w:rPr>
              <w:t xml:space="preserve"> is either listening to a question or answering a question, </w:t>
            </w:r>
            <w:r w:rsidR="008879B2">
              <w:rPr>
                <w:rFonts w:cstheme="minorHAnsi"/>
              </w:rPr>
              <w:t>potentially impeding their capacity to reflect carefully</w:t>
            </w:r>
          </w:p>
          <w:p w14:paraId="5CE5660D" w14:textId="586B7482" w:rsidR="008879B2" w:rsidRPr="002E12A0" w:rsidRDefault="008879B2" w:rsidP="002E12A0">
            <w:pPr>
              <w:pStyle w:val="ListParagraph"/>
              <w:numPr>
                <w:ilvl w:val="0"/>
                <w:numId w:val="9"/>
              </w:numPr>
              <w:rPr>
                <w:rFonts w:cstheme="minorHAnsi"/>
              </w:rPr>
            </w:pPr>
            <w:r>
              <w:rPr>
                <w:rFonts w:cstheme="minorHAnsi"/>
              </w:rPr>
              <w:t>This opportunity is especially valuable to participants who experience cognitive problems</w:t>
            </w:r>
          </w:p>
        </w:tc>
      </w:tr>
      <w:tr w:rsidR="001A48DE" w14:paraId="43A0A1A6" w14:textId="77777777" w:rsidTr="002E12A0">
        <w:tc>
          <w:tcPr>
            <w:tcW w:w="4081" w:type="dxa"/>
            <w:shd w:val="clear" w:color="auto" w:fill="D9D9D9" w:themeFill="background1" w:themeFillShade="D9"/>
          </w:tcPr>
          <w:p w14:paraId="0929ECFF" w14:textId="569AF466" w:rsidR="001A48DE" w:rsidRPr="008879B2" w:rsidRDefault="008879B2" w:rsidP="001A48DE">
            <w:pPr>
              <w:rPr>
                <w:rFonts w:cstheme="minorHAnsi"/>
              </w:rPr>
            </w:pPr>
            <w:r>
              <w:rPr>
                <w:rFonts w:cstheme="minorHAnsi"/>
                <w:b/>
              </w:rPr>
              <w:t>Redressing imbalances in power</w:t>
            </w:r>
            <w:r>
              <w:rPr>
                <w:rFonts w:cstheme="minorHAnsi"/>
              </w:rPr>
              <w:t>.  Participants sometimes feel more empowered when they are not interviewed alone</w:t>
            </w:r>
          </w:p>
        </w:tc>
        <w:tc>
          <w:tcPr>
            <w:tcW w:w="4879" w:type="dxa"/>
            <w:shd w:val="clear" w:color="auto" w:fill="D9D9D9" w:themeFill="background1" w:themeFillShade="D9"/>
          </w:tcPr>
          <w:p w14:paraId="635E32F3" w14:textId="77777777" w:rsidR="008879B2" w:rsidRDefault="008879B2" w:rsidP="008879B2">
            <w:pPr>
              <w:pStyle w:val="ListParagraph"/>
              <w:numPr>
                <w:ilvl w:val="0"/>
                <w:numId w:val="10"/>
              </w:numPr>
              <w:rPr>
                <w:rFonts w:cstheme="minorHAnsi"/>
              </w:rPr>
            </w:pPr>
            <w:r>
              <w:rPr>
                <w:rFonts w:cstheme="minorHAnsi"/>
              </w:rPr>
              <w:t>During interviews with only one participant, the researcher guides the interview and thus occupies a position of power.  This position of power might stifle the responses of this participant</w:t>
            </w:r>
          </w:p>
          <w:p w14:paraId="2875A0A5" w14:textId="7AB7613B" w:rsidR="001A48DE" w:rsidRPr="008879B2" w:rsidRDefault="008879B2" w:rsidP="008879B2">
            <w:pPr>
              <w:pStyle w:val="ListParagraph"/>
              <w:numPr>
                <w:ilvl w:val="0"/>
                <w:numId w:val="10"/>
              </w:numPr>
              <w:rPr>
                <w:rFonts w:cstheme="minorHAnsi"/>
              </w:rPr>
            </w:pPr>
            <w:r>
              <w:rPr>
                <w:rFonts w:cstheme="minorHAnsi"/>
              </w:rPr>
              <w:t xml:space="preserve">Two participants, combined, may offset this disparity in power to some extent.  </w:t>
            </w:r>
            <w:r w:rsidR="00001E53">
              <w:rPr>
                <w:rFonts w:cstheme="minorHAnsi"/>
              </w:rPr>
              <w:t xml:space="preserve">Together, they might be able to shape and </w:t>
            </w:r>
            <w:r w:rsidR="0058226E">
              <w:rPr>
                <w:rFonts w:cstheme="minorHAnsi"/>
              </w:rPr>
              <w:t xml:space="preserve">to </w:t>
            </w:r>
            <w:r w:rsidR="00001E53">
              <w:rPr>
                <w:rFonts w:cstheme="minorHAnsi"/>
              </w:rPr>
              <w:t>influence the emphasis of this interview.</w:t>
            </w:r>
            <w:r>
              <w:rPr>
                <w:rFonts w:cstheme="minorHAnsi"/>
              </w:rPr>
              <w:t xml:space="preserve">  </w:t>
            </w:r>
          </w:p>
        </w:tc>
      </w:tr>
    </w:tbl>
    <w:p w14:paraId="542FDA94" w14:textId="77777777" w:rsidR="001A48DE" w:rsidRDefault="001A48DE" w:rsidP="00DE15F0">
      <w:pPr>
        <w:rPr>
          <w:rFonts w:cstheme="minorHAnsi"/>
          <w:szCs w:val="22"/>
        </w:rPr>
      </w:pPr>
    </w:p>
    <w:p w14:paraId="5ECB8E13" w14:textId="1CDA5469" w:rsidR="00001E53" w:rsidRPr="00ED60C7" w:rsidRDefault="00001E53" w:rsidP="00001E53">
      <w:pPr>
        <w:rPr>
          <w:rFonts w:cstheme="minorHAnsi"/>
          <w:b/>
          <w:szCs w:val="22"/>
        </w:rPr>
      </w:pPr>
      <w:r>
        <w:rPr>
          <w:rFonts w:cstheme="minorHAnsi"/>
          <w:b/>
          <w:szCs w:val="22"/>
        </w:rPr>
        <w:t>Benefits of dyadic interviews over focus groups</w:t>
      </w:r>
    </w:p>
    <w:p w14:paraId="4675421D" w14:textId="31F83A33" w:rsidR="00ED60C7" w:rsidRDefault="00001E53" w:rsidP="00DE15F0">
      <w:pPr>
        <w:rPr>
          <w:rFonts w:cstheme="minorHAnsi"/>
          <w:szCs w:val="22"/>
        </w:rPr>
      </w:pPr>
      <w:r>
        <w:rPr>
          <w:rFonts w:cstheme="minorHAnsi"/>
          <w:szCs w:val="22"/>
        </w:rPr>
        <w:tab/>
      </w:r>
    </w:p>
    <w:p w14:paraId="1ADD8A60" w14:textId="0D8182E1" w:rsidR="00001E53" w:rsidRDefault="00001E53" w:rsidP="00DE15F0">
      <w:pPr>
        <w:rPr>
          <w:rFonts w:cstheme="minorHAnsi"/>
          <w:szCs w:val="22"/>
        </w:rPr>
      </w:pPr>
      <w:r>
        <w:rPr>
          <w:rFonts w:cstheme="minorHAnsi"/>
          <w:szCs w:val="22"/>
        </w:rPr>
        <w:tab/>
        <w:t xml:space="preserve">These benefits of dyadic interviews—the sharing of answers, comparing of answers, networking, opportunities to reflect, and empowerment—also apply to focus groups.  Yet, as the following table shows, dyadic interviews also offer several benefits over focus groups.   </w:t>
      </w:r>
    </w:p>
    <w:p w14:paraId="6460D48E" w14:textId="3C869E52" w:rsidR="00001E53" w:rsidRDefault="00001E53" w:rsidP="00DE15F0">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001E53" w:rsidRPr="00611A18" w14:paraId="56A9771A" w14:textId="77777777" w:rsidTr="00BB30F9">
        <w:tc>
          <w:tcPr>
            <w:tcW w:w="4081" w:type="dxa"/>
            <w:shd w:val="clear" w:color="auto" w:fill="BDD6EE" w:themeFill="accent5" w:themeFillTint="66"/>
          </w:tcPr>
          <w:p w14:paraId="73583A43" w14:textId="77777777" w:rsidR="00001E53" w:rsidRPr="00611A18" w:rsidRDefault="00001E53" w:rsidP="00BB30F9">
            <w:pPr>
              <w:jc w:val="center"/>
              <w:rPr>
                <w:rFonts w:cstheme="minorHAnsi"/>
              </w:rPr>
            </w:pPr>
            <w:r>
              <w:rPr>
                <w:rFonts w:cstheme="minorHAnsi"/>
              </w:rPr>
              <w:t>Benefit</w:t>
            </w:r>
          </w:p>
        </w:tc>
        <w:tc>
          <w:tcPr>
            <w:tcW w:w="4879" w:type="dxa"/>
            <w:shd w:val="clear" w:color="auto" w:fill="BDD6EE" w:themeFill="accent5" w:themeFillTint="66"/>
          </w:tcPr>
          <w:p w14:paraId="1AC019C6" w14:textId="77777777" w:rsidR="00001E53" w:rsidRPr="00611A18" w:rsidRDefault="00001E53" w:rsidP="00BB30F9">
            <w:pPr>
              <w:jc w:val="center"/>
              <w:rPr>
                <w:rFonts w:cstheme="minorHAnsi"/>
              </w:rPr>
            </w:pPr>
            <w:r>
              <w:rPr>
                <w:rFonts w:cstheme="minorHAnsi"/>
              </w:rPr>
              <w:t>Details</w:t>
            </w:r>
          </w:p>
        </w:tc>
      </w:tr>
      <w:tr w:rsidR="00D12EA0" w:rsidRPr="006D7FC9" w14:paraId="584484FA" w14:textId="77777777" w:rsidTr="00BB30F9">
        <w:tc>
          <w:tcPr>
            <w:tcW w:w="4081" w:type="dxa"/>
            <w:shd w:val="clear" w:color="auto" w:fill="D9D9D9" w:themeFill="background1" w:themeFillShade="D9"/>
          </w:tcPr>
          <w:p w14:paraId="48F2A716" w14:textId="2490E160" w:rsidR="00D12EA0" w:rsidRPr="00D12EA0" w:rsidRDefault="00D12EA0" w:rsidP="00001E53">
            <w:pPr>
              <w:rPr>
                <w:rFonts w:cstheme="minorHAnsi"/>
              </w:rPr>
            </w:pPr>
            <w:r>
              <w:rPr>
                <w:rFonts w:cstheme="minorHAnsi"/>
                <w:b/>
              </w:rPr>
              <w:t xml:space="preserve">Greater feelings of security.  </w:t>
            </w:r>
            <w:r>
              <w:rPr>
                <w:rFonts w:cstheme="minorHAnsi"/>
              </w:rPr>
              <w:t>Participants tend to feel more confident to express their opinions and perspectives when only one, rather than many, other participants are listening</w:t>
            </w:r>
          </w:p>
        </w:tc>
        <w:tc>
          <w:tcPr>
            <w:tcW w:w="4879" w:type="dxa"/>
            <w:shd w:val="clear" w:color="auto" w:fill="D9D9D9" w:themeFill="background1" w:themeFillShade="D9"/>
          </w:tcPr>
          <w:p w14:paraId="26587569" w14:textId="6A320BFA" w:rsidR="00D12EA0" w:rsidRDefault="00D12EA0" w:rsidP="00001E53">
            <w:pPr>
              <w:pStyle w:val="ListParagraph"/>
              <w:numPr>
                <w:ilvl w:val="0"/>
                <w:numId w:val="8"/>
              </w:numPr>
              <w:rPr>
                <w:rFonts w:cstheme="minorHAnsi"/>
              </w:rPr>
            </w:pPr>
            <w:r>
              <w:rPr>
                <w:rFonts w:cstheme="minorHAnsi"/>
              </w:rPr>
              <w:t>Participants who are shy and reserved may be especially inclined to prefer dyadic interviews over focus groups</w:t>
            </w:r>
          </w:p>
          <w:p w14:paraId="57585B97" w14:textId="3EA0FA84" w:rsidR="00D12EA0" w:rsidRDefault="00D12EA0" w:rsidP="00001E53">
            <w:pPr>
              <w:pStyle w:val="ListParagraph"/>
              <w:numPr>
                <w:ilvl w:val="0"/>
                <w:numId w:val="8"/>
              </w:numPr>
              <w:rPr>
                <w:rFonts w:cstheme="minorHAnsi"/>
              </w:rPr>
            </w:pPr>
            <w:r>
              <w:rPr>
                <w:rFonts w:cstheme="minorHAnsi"/>
              </w:rPr>
              <w:t>The two participants can accommodate each other more effectively; they can respond to the nonverbal cues of one another—such as facial expressions that imply boredom</w:t>
            </w:r>
          </w:p>
          <w:p w14:paraId="3DD42AB1" w14:textId="77777777" w:rsidR="00D12EA0" w:rsidRDefault="00D12EA0" w:rsidP="00D12EA0">
            <w:pPr>
              <w:pStyle w:val="ListParagraph"/>
              <w:numPr>
                <w:ilvl w:val="0"/>
                <w:numId w:val="8"/>
              </w:numPr>
              <w:rPr>
                <w:rFonts w:cstheme="minorHAnsi"/>
              </w:rPr>
            </w:pPr>
            <w:r>
              <w:rPr>
                <w:rFonts w:cstheme="minorHAnsi"/>
              </w:rPr>
              <w:t>Similarly, some participants are reluctant to meet unfamiliar people—and this concern is exacerbated in focus groups relative to dyadic interviews</w:t>
            </w:r>
          </w:p>
          <w:p w14:paraId="2000C2F9" w14:textId="0FD0FBF6" w:rsidR="00A77441" w:rsidRPr="00D12EA0" w:rsidRDefault="00A77441" w:rsidP="00D12EA0">
            <w:pPr>
              <w:pStyle w:val="ListParagraph"/>
              <w:numPr>
                <w:ilvl w:val="0"/>
                <w:numId w:val="8"/>
              </w:numPr>
              <w:rPr>
                <w:rFonts w:cstheme="minorHAnsi"/>
              </w:rPr>
            </w:pPr>
            <w:r>
              <w:rPr>
                <w:rFonts w:cstheme="minorHAnsi"/>
              </w:rPr>
              <w:lastRenderedPageBreak/>
              <w:t>Specific demographics, such as people who have been diagnosed with cognitive impairment, may feel especially overwhelmed by focus groups</w:t>
            </w:r>
          </w:p>
        </w:tc>
      </w:tr>
      <w:tr w:rsidR="00001E53" w:rsidRPr="006D7FC9" w14:paraId="32E108EF" w14:textId="77777777" w:rsidTr="00BB30F9">
        <w:tc>
          <w:tcPr>
            <w:tcW w:w="4081" w:type="dxa"/>
            <w:shd w:val="clear" w:color="auto" w:fill="D9D9D9" w:themeFill="background1" w:themeFillShade="D9"/>
          </w:tcPr>
          <w:p w14:paraId="3E4B06CC" w14:textId="7A141FB2" w:rsidR="00001E53" w:rsidRPr="00001E53" w:rsidRDefault="00001E53" w:rsidP="00001E53">
            <w:pPr>
              <w:rPr>
                <w:rFonts w:cstheme="minorHAnsi"/>
              </w:rPr>
            </w:pPr>
            <w:r>
              <w:rPr>
                <w:rFonts w:cstheme="minorHAnsi"/>
                <w:b/>
              </w:rPr>
              <w:lastRenderedPageBreak/>
              <w:t>Potential to extend answers</w:t>
            </w:r>
            <w:r>
              <w:rPr>
                <w:rFonts w:cstheme="minorHAnsi"/>
              </w:rPr>
              <w:t>.  In contrast to dyadic interviews, during focus groups, participants might not feel they are granted enough time to extend their answers</w:t>
            </w:r>
          </w:p>
        </w:tc>
        <w:tc>
          <w:tcPr>
            <w:tcW w:w="4879" w:type="dxa"/>
            <w:shd w:val="clear" w:color="auto" w:fill="D9D9D9" w:themeFill="background1" w:themeFillShade="D9"/>
          </w:tcPr>
          <w:p w14:paraId="4506C502" w14:textId="77777777" w:rsidR="00001E53" w:rsidRDefault="00001E53" w:rsidP="00001E53">
            <w:pPr>
              <w:pStyle w:val="ListParagraph"/>
              <w:numPr>
                <w:ilvl w:val="0"/>
                <w:numId w:val="8"/>
              </w:numPr>
              <w:rPr>
                <w:rFonts w:cstheme="minorHAnsi"/>
              </w:rPr>
            </w:pPr>
            <w:r>
              <w:rPr>
                <w:rFonts w:cstheme="minorHAnsi"/>
              </w:rPr>
              <w:t>During dyadic interviews, participants feel their answers can be longer—because only one other participant is listening</w:t>
            </w:r>
          </w:p>
          <w:p w14:paraId="7D16DCC5" w14:textId="23BEF929" w:rsidR="00001E53" w:rsidRDefault="00001E53" w:rsidP="00001E53">
            <w:pPr>
              <w:pStyle w:val="ListParagraph"/>
              <w:numPr>
                <w:ilvl w:val="0"/>
                <w:numId w:val="8"/>
              </w:numPr>
              <w:rPr>
                <w:rFonts w:cstheme="minorHAnsi"/>
              </w:rPr>
            </w:pPr>
            <w:r>
              <w:rPr>
                <w:rFonts w:cstheme="minorHAnsi"/>
              </w:rPr>
              <w:t>Hence, their answers might be more comprehensive—and include a narrative that clarifies the perspective in greater detail</w:t>
            </w:r>
          </w:p>
          <w:p w14:paraId="5F509E98" w14:textId="1D257D13" w:rsidR="00001E53" w:rsidRPr="00001E53" w:rsidRDefault="00001E53" w:rsidP="00001E53">
            <w:pPr>
              <w:pStyle w:val="ListParagraph"/>
              <w:numPr>
                <w:ilvl w:val="0"/>
                <w:numId w:val="8"/>
              </w:numPr>
              <w:rPr>
                <w:rFonts w:cstheme="minorHAnsi"/>
              </w:rPr>
            </w:pPr>
            <w:r>
              <w:rPr>
                <w:rFonts w:cstheme="minorHAnsi"/>
              </w:rPr>
              <w:t>These extended answers can be more nuanced as well</w:t>
            </w:r>
          </w:p>
        </w:tc>
      </w:tr>
      <w:tr w:rsidR="00001E53" w:rsidRPr="006D7FC9" w14:paraId="79E6EC1C" w14:textId="77777777" w:rsidTr="00BB30F9">
        <w:tc>
          <w:tcPr>
            <w:tcW w:w="4081" w:type="dxa"/>
            <w:shd w:val="clear" w:color="auto" w:fill="D9D9D9" w:themeFill="background1" w:themeFillShade="D9"/>
          </w:tcPr>
          <w:p w14:paraId="7E2078E2" w14:textId="0B1E3638" w:rsidR="00001E53" w:rsidRPr="00D12EA0" w:rsidRDefault="00D12EA0" w:rsidP="00001E53">
            <w:pPr>
              <w:rPr>
                <w:rFonts w:cstheme="minorHAnsi"/>
              </w:rPr>
            </w:pPr>
            <w:r>
              <w:rPr>
                <w:rFonts w:cstheme="minorHAnsi"/>
                <w:b/>
              </w:rPr>
              <w:t>Logistics</w:t>
            </w:r>
            <w:r>
              <w:rPr>
                <w:rFonts w:cstheme="minorHAnsi"/>
              </w:rPr>
              <w:t>.  Dyadic interviews are easier to arrange than focus groups</w:t>
            </w:r>
          </w:p>
        </w:tc>
        <w:tc>
          <w:tcPr>
            <w:tcW w:w="4879" w:type="dxa"/>
            <w:shd w:val="clear" w:color="auto" w:fill="D9D9D9" w:themeFill="background1" w:themeFillShade="D9"/>
          </w:tcPr>
          <w:p w14:paraId="2DD980BD" w14:textId="79FC97CA" w:rsidR="00D12EA0" w:rsidRDefault="00D12EA0" w:rsidP="00001E53">
            <w:pPr>
              <w:pStyle w:val="ListParagraph"/>
              <w:numPr>
                <w:ilvl w:val="0"/>
                <w:numId w:val="8"/>
              </w:numPr>
              <w:rPr>
                <w:rFonts w:cstheme="minorHAnsi"/>
              </w:rPr>
            </w:pPr>
            <w:r>
              <w:rPr>
                <w:rFonts w:cstheme="minorHAnsi"/>
              </w:rPr>
              <w:t>Researchers can readily identify two participants who are available at the same time</w:t>
            </w:r>
          </w:p>
          <w:p w14:paraId="3ECA81EB" w14:textId="1747E269" w:rsidR="00001E53" w:rsidRPr="00D12EA0" w:rsidRDefault="00D12EA0" w:rsidP="00D12EA0">
            <w:pPr>
              <w:pStyle w:val="ListParagraph"/>
              <w:numPr>
                <w:ilvl w:val="0"/>
                <w:numId w:val="8"/>
              </w:numPr>
              <w:rPr>
                <w:rFonts w:cstheme="minorHAnsi"/>
              </w:rPr>
            </w:pPr>
            <w:r>
              <w:rPr>
                <w:rFonts w:cstheme="minorHAnsi"/>
              </w:rPr>
              <w:t>Researchers often prefer the participants to be homogenous on key characteristics, such as field of study or socioeconomic status; this homogeneity is easier to arrange if the interview comprises two participants rather than many participants</w:t>
            </w:r>
          </w:p>
        </w:tc>
      </w:tr>
      <w:tr w:rsidR="00001E53" w14:paraId="2469C83C" w14:textId="77777777" w:rsidTr="00BB30F9">
        <w:tc>
          <w:tcPr>
            <w:tcW w:w="4081" w:type="dxa"/>
            <w:shd w:val="clear" w:color="auto" w:fill="D9D9D9" w:themeFill="background1" w:themeFillShade="D9"/>
          </w:tcPr>
          <w:p w14:paraId="2AFCE2E9" w14:textId="54743DFB" w:rsidR="00001E53" w:rsidRPr="00D12EA0" w:rsidRDefault="00D12EA0" w:rsidP="00001E53">
            <w:pPr>
              <w:rPr>
                <w:rFonts w:cstheme="minorHAnsi"/>
              </w:rPr>
            </w:pPr>
            <w:r>
              <w:rPr>
                <w:rFonts w:cstheme="minorHAnsi"/>
                <w:b/>
              </w:rPr>
              <w:t>Moderation</w:t>
            </w:r>
            <w:r>
              <w:rPr>
                <w:rFonts w:cstheme="minorHAnsi"/>
              </w:rPr>
              <w:t>. Researchers can moderate or facilitate discussions with two participants more effectively than discussions with more than two participants</w:t>
            </w:r>
          </w:p>
        </w:tc>
        <w:tc>
          <w:tcPr>
            <w:tcW w:w="4879" w:type="dxa"/>
            <w:shd w:val="clear" w:color="auto" w:fill="D9D9D9" w:themeFill="background1" w:themeFillShade="D9"/>
          </w:tcPr>
          <w:p w14:paraId="23F90CB9" w14:textId="6486BF0A" w:rsidR="00001E53" w:rsidRPr="002E12A0" w:rsidRDefault="00D12EA0" w:rsidP="00001E53">
            <w:pPr>
              <w:pStyle w:val="ListParagraph"/>
              <w:numPr>
                <w:ilvl w:val="0"/>
                <w:numId w:val="8"/>
              </w:numPr>
              <w:rPr>
                <w:rFonts w:cstheme="minorHAnsi"/>
              </w:rPr>
            </w:pPr>
            <w:r>
              <w:rPr>
                <w:rFonts w:cstheme="minorHAnsi"/>
              </w:rPr>
              <w:t>For example, researchers can more readily check that two, rather than more than two, participants</w:t>
            </w:r>
            <w:r w:rsidR="00001E53" w:rsidRPr="00E84200">
              <w:rPr>
                <w:rFonts w:cstheme="minorHAnsi"/>
              </w:rPr>
              <w:t xml:space="preserve"> </w:t>
            </w:r>
            <w:r>
              <w:rPr>
                <w:rFonts w:cstheme="minorHAnsi"/>
              </w:rPr>
              <w:t>understood the questions and are ready to proceed to subsequent questions</w:t>
            </w:r>
          </w:p>
        </w:tc>
      </w:tr>
    </w:tbl>
    <w:p w14:paraId="7DC13871" w14:textId="77777777" w:rsidR="00D12EA0" w:rsidRDefault="00D12EA0" w:rsidP="00564928">
      <w:pPr>
        <w:rPr>
          <w:rFonts w:cstheme="minorHAnsi"/>
          <w:szCs w:val="22"/>
        </w:rPr>
      </w:pPr>
    </w:p>
    <w:p w14:paraId="038F65A1" w14:textId="77777777" w:rsidR="0023645A" w:rsidRPr="00611A18" w:rsidRDefault="0023645A" w:rsidP="0023645A">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3645A" w:rsidRPr="00611A18" w14:paraId="70E9A1F9" w14:textId="77777777" w:rsidTr="00BB30F9">
        <w:tc>
          <w:tcPr>
            <w:tcW w:w="9010" w:type="dxa"/>
            <w:shd w:val="clear" w:color="auto" w:fill="BDD6EE" w:themeFill="accent5" w:themeFillTint="66"/>
          </w:tcPr>
          <w:p w14:paraId="2F3A76BB" w14:textId="5EBF19C9" w:rsidR="0023645A" w:rsidRPr="00611A18" w:rsidRDefault="0023645A" w:rsidP="00BB30F9">
            <w:pPr>
              <w:jc w:val="center"/>
              <w:rPr>
                <w:rFonts w:cstheme="minorHAnsi"/>
                <w:b/>
              </w:rPr>
            </w:pPr>
            <w:r>
              <w:rPr>
                <w:rFonts w:cstheme="minorHAnsi"/>
                <w:b/>
              </w:rPr>
              <w:t>How to conduct dyadic interviews</w:t>
            </w:r>
          </w:p>
        </w:tc>
      </w:tr>
    </w:tbl>
    <w:p w14:paraId="4DF7B695" w14:textId="77777777" w:rsidR="0023645A" w:rsidRDefault="0023645A" w:rsidP="0023645A">
      <w:pPr>
        <w:rPr>
          <w:rFonts w:cstheme="minorHAnsi"/>
          <w:szCs w:val="22"/>
        </w:rPr>
      </w:pPr>
    </w:p>
    <w:p w14:paraId="7AD61FD0" w14:textId="710B498F" w:rsidR="0023645A" w:rsidRDefault="0023645A" w:rsidP="00564928">
      <w:pPr>
        <w:rPr>
          <w:rFonts w:cstheme="minorHAnsi"/>
          <w:szCs w:val="22"/>
        </w:rPr>
      </w:pPr>
      <w:r>
        <w:rPr>
          <w:rFonts w:cstheme="minorHAnsi"/>
          <w:szCs w:val="22"/>
        </w:rPr>
        <w:tab/>
        <w:t xml:space="preserve">Researchers have yet to </w:t>
      </w:r>
      <w:r w:rsidR="008C2B5C">
        <w:rPr>
          <w:rFonts w:cstheme="minorHAnsi"/>
          <w:szCs w:val="22"/>
        </w:rPr>
        <w:t>formulate a protocol on how to conduct dyadic interviews.  Instead, they may integrate some of the principles that apply to traditional interviews or focus groups.  Nevertheless, researchers have advocated a few helpful practices</w:t>
      </w:r>
      <w:r w:rsidR="00FA053E">
        <w:rPr>
          <w:rFonts w:cstheme="minorHAnsi"/>
          <w:szCs w:val="22"/>
        </w:rPr>
        <w:t>. The following table outlines these practices.</w:t>
      </w:r>
    </w:p>
    <w:p w14:paraId="0593F36B" w14:textId="17EDFE2E" w:rsidR="00FA053E" w:rsidRDefault="00FA053E" w:rsidP="00564928">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081"/>
        <w:gridCol w:w="4879"/>
      </w:tblGrid>
      <w:tr w:rsidR="00FA053E" w:rsidRPr="00611A18" w14:paraId="3F8E2495" w14:textId="77777777" w:rsidTr="00BB30F9">
        <w:tc>
          <w:tcPr>
            <w:tcW w:w="4081" w:type="dxa"/>
            <w:shd w:val="clear" w:color="auto" w:fill="BDD6EE" w:themeFill="accent5" w:themeFillTint="66"/>
          </w:tcPr>
          <w:p w14:paraId="0ED89BFE" w14:textId="2E15BE7C" w:rsidR="00FA053E" w:rsidRPr="00611A18" w:rsidRDefault="00FA053E" w:rsidP="00BB30F9">
            <w:pPr>
              <w:jc w:val="center"/>
              <w:rPr>
                <w:rFonts w:cstheme="minorHAnsi"/>
              </w:rPr>
            </w:pPr>
            <w:r>
              <w:rPr>
                <w:rFonts w:cstheme="minorHAnsi"/>
              </w:rPr>
              <w:t>Practice to consider</w:t>
            </w:r>
          </w:p>
        </w:tc>
        <w:tc>
          <w:tcPr>
            <w:tcW w:w="4879" w:type="dxa"/>
            <w:shd w:val="clear" w:color="auto" w:fill="BDD6EE" w:themeFill="accent5" w:themeFillTint="66"/>
          </w:tcPr>
          <w:p w14:paraId="26E52376" w14:textId="77777777" w:rsidR="00FA053E" w:rsidRPr="00611A18" w:rsidRDefault="00FA053E" w:rsidP="00BB30F9">
            <w:pPr>
              <w:jc w:val="center"/>
              <w:rPr>
                <w:rFonts w:cstheme="minorHAnsi"/>
              </w:rPr>
            </w:pPr>
            <w:r>
              <w:rPr>
                <w:rFonts w:cstheme="minorHAnsi"/>
              </w:rPr>
              <w:t>Details</w:t>
            </w:r>
          </w:p>
        </w:tc>
      </w:tr>
      <w:tr w:rsidR="005730F7" w:rsidRPr="006D7FC9" w14:paraId="0C413F71" w14:textId="77777777" w:rsidTr="00BB30F9">
        <w:tc>
          <w:tcPr>
            <w:tcW w:w="4081" w:type="dxa"/>
            <w:shd w:val="clear" w:color="auto" w:fill="D9D9D9" w:themeFill="background1" w:themeFillShade="D9"/>
          </w:tcPr>
          <w:p w14:paraId="19266CCA" w14:textId="3E05B8CC" w:rsidR="005730F7" w:rsidRDefault="005730F7" w:rsidP="005730F7">
            <w:pPr>
              <w:rPr>
                <w:rFonts w:cstheme="minorHAnsi"/>
              </w:rPr>
            </w:pPr>
            <w:r w:rsidRPr="005730F7">
              <w:rPr>
                <w:rFonts w:cstheme="minorHAnsi"/>
                <w:b/>
              </w:rPr>
              <w:t xml:space="preserve">Balance homogeneity and diversity.  </w:t>
            </w:r>
            <w:r>
              <w:rPr>
                <w:rFonts w:cstheme="minorHAnsi"/>
              </w:rPr>
              <w:t xml:space="preserve">If participants are </w:t>
            </w:r>
            <w:r w:rsidR="00B430AA">
              <w:rPr>
                <w:rFonts w:cstheme="minorHAnsi"/>
              </w:rPr>
              <w:t>too</w:t>
            </w:r>
            <w:r>
              <w:rPr>
                <w:rFonts w:cstheme="minorHAnsi"/>
              </w:rPr>
              <w:t xml:space="preserve"> different to one another, some problems might unfold.</w:t>
            </w:r>
            <w:r w:rsidR="00B430AA">
              <w:rPr>
                <w:rFonts w:cstheme="minorHAnsi"/>
              </w:rPr>
              <w:t xml:space="preserve">  For example</w:t>
            </w:r>
            <w:r>
              <w:rPr>
                <w:rFonts w:cstheme="minorHAnsi"/>
              </w:rPr>
              <w:t xml:space="preserve">, the </w:t>
            </w:r>
            <w:r w:rsidR="00115B2B">
              <w:rPr>
                <w:rFonts w:cstheme="minorHAnsi"/>
              </w:rPr>
              <w:t xml:space="preserve">precise questions might be </w:t>
            </w:r>
            <w:r w:rsidR="00115B2B">
              <w:rPr>
                <w:rFonts w:cstheme="minorHAnsi"/>
              </w:rPr>
              <w:lastRenderedPageBreak/>
              <w:t>relevant to one participant but not the other participant</w:t>
            </w:r>
            <w:r w:rsidR="000A3605">
              <w:rPr>
                <w:rFonts w:cstheme="minorHAnsi"/>
              </w:rPr>
              <w:t>.</w:t>
            </w:r>
            <w:r w:rsidR="006953F2">
              <w:rPr>
                <w:rFonts w:cstheme="minorHAnsi"/>
              </w:rPr>
              <w:t xml:space="preserve">  In addition, they might not feel as comfortable with one another</w:t>
            </w:r>
          </w:p>
          <w:p w14:paraId="38E3DC46" w14:textId="77777777" w:rsidR="00E54B1E" w:rsidRDefault="00E54B1E" w:rsidP="005730F7">
            <w:pPr>
              <w:rPr>
                <w:rFonts w:cstheme="minorHAnsi"/>
              </w:rPr>
            </w:pPr>
          </w:p>
          <w:p w14:paraId="4B1E433E" w14:textId="3E4E4D1A" w:rsidR="00E54B1E" w:rsidRPr="005730F7" w:rsidRDefault="00EB4CA9" w:rsidP="005730F7">
            <w:pPr>
              <w:rPr>
                <w:rFonts w:cstheme="minorHAnsi"/>
              </w:rPr>
            </w:pPr>
            <w:r>
              <w:rPr>
                <w:rFonts w:cstheme="minorHAnsi"/>
              </w:rPr>
              <w:t>If participants are too similar, however,</w:t>
            </w:r>
            <w:r w:rsidR="00E54B1E">
              <w:rPr>
                <w:rFonts w:cstheme="minorHAnsi"/>
              </w:rPr>
              <w:t xml:space="preserve"> </w:t>
            </w:r>
            <w:r w:rsidR="00B430AA">
              <w:rPr>
                <w:rFonts w:cstheme="minorHAnsi"/>
              </w:rPr>
              <w:t>other problems could unfold. Their answers might not diverge enough from one another; consequently, the answers of one participant might not stimulate greater insight in the other participant</w:t>
            </w:r>
          </w:p>
        </w:tc>
        <w:tc>
          <w:tcPr>
            <w:tcW w:w="4879" w:type="dxa"/>
            <w:shd w:val="clear" w:color="auto" w:fill="D9D9D9" w:themeFill="background1" w:themeFillShade="D9"/>
          </w:tcPr>
          <w:p w14:paraId="1D43DDF1" w14:textId="77777777" w:rsidR="001D4DD9" w:rsidRDefault="00F24F21" w:rsidP="005730F7">
            <w:pPr>
              <w:pStyle w:val="ListParagraph"/>
              <w:numPr>
                <w:ilvl w:val="0"/>
                <w:numId w:val="8"/>
              </w:numPr>
              <w:rPr>
                <w:rFonts w:cstheme="minorHAnsi"/>
              </w:rPr>
            </w:pPr>
            <w:r>
              <w:rPr>
                <w:rFonts w:cstheme="minorHAnsi"/>
              </w:rPr>
              <w:lastRenderedPageBreak/>
              <w:t xml:space="preserve">Researchers have not clarified how to balance this homogeneity and diversity.  </w:t>
            </w:r>
          </w:p>
          <w:p w14:paraId="327B3771" w14:textId="434AB2B2" w:rsidR="002B6867" w:rsidRDefault="00147A86" w:rsidP="005730F7">
            <w:pPr>
              <w:pStyle w:val="ListParagraph"/>
              <w:numPr>
                <w:ilvl w:val="0"/>
                <w:numId w:val="8"/>
              </w:numPr>
              <w:rPr>
                <w:rFonts w:cstheme="minorHAnsi"/>
              </w:rPr>
            </w:pPr>
            <w:r>
              <w:rPr>
                <w:rFonts w:cstheme="minorHAnsi"/>
              </w:rPr>
              <w:lastRenderedPageBreak/>
              <w:t xml:space="preserve">Arguably, the </w:t>
            </w:r>
            <w:r w:rsidR="007058CE">
              <w:rPr>
                <w:rFonts w:cstheme="minorHAnsi"/>
              </w:rPr>
              <w:t xml:space="preserve">participants </w:t>
            </w:r>
            <w:r w:rsidR="00473D69">
              <w:rPr>
                <w:rFonts w:cstheme="minorHAnsi"/>
              </w:rPr>
              <w:t>should be similar on characteristics that affect understanding</w:t>
            </w:r>
            <w:r w:rsidR="00F82A7E">
              <w:rPr>
                <w:rFonts w:cstheme="minorHAnsi"/>
              </w:rPr>
              <w:t>—such as field of discipline or level of education</w:t>
            </w:r>
          </w:p>
          <w:p w14:paraId="4170D624" w14:textId="77777777" w:rsidR="005730F7" w:rsidRDefault="00BB0BA6" w:rsidP="005730F7">
            <w:pPr>
              <w:pStyle w:val="ListParagraph"/>
              <w:numPr>
                <w:ilvl w:val="0"/>
                <w:numId w:val="8"/>
              </w:numPr>
              <w:rPr>
                <w:rFonts w:cstheme="minorHAnsi"/>
              </w:rPr>
            </w:pPr>
            <w:r>
              <w:rPr>
                <w:rFonts w:cstheme="minorHAnsi"/>
              </w:rPr>
              <w:t xml:space="preserve">But, </w:t>
            </w:r>
            <w:r w:rsidR="006953F2">
              <w:rPr>
                <w:rFonts w:cstheme="minorHAnsi"/>
              </w:rPr>
              <w:t xml:space="preserve">participants could differ on characteristics that affect their experiences with some issue—such as whether they live alone or level of confidence.  </w:t>
            </w:r>
            <w:r w:rsidR="005730F7" w:rsidRPr="001914F6">
              <w:rPr>
                <w:rFonts w:cstheme="minorHAnsi"/>
              </w:rPr>
              <w:t xml:space="preserve"> </w:t>
            </w:r>
          </w:p>
          <w:p w14:paraId="28C798E5" w14:textId="3BE0B261" w:rsidR="00A36A19" w:rsidRPr="00D12EA0" w:rsidRDefault="00A36A19" w:rsidP="005730F7">
            <w:pPr>
              <w:pStyle w:val="ListParagraph"/>
              <w:numPr>
                <w:ilvl w:val="0"/>
                <w:numId w:val="8"/>
              </w:numPr>
              <w:rPr>
                <w:rFonts w:cstheme="minorHAnsi"/>
              </w:rPr>
            </w:pPr>
            <w:r>
              <w:rPr>
                <w:rFonts w:cstheme="minorHAnsi"/>
              </w:rPr>
              <w:t>For example, suppose the researcher wanted to understand how universities could</w:t>
            </w:r>
            <w:r w:rsidR="003D2755">
              <w:rPr>
                <w:rFonts w:cstheme="minorHAnsi"/>
              </w:rPr>
              <w:t xml:space="preserve"> assist international </w:t>
            </w:r>
            <w:bookmarkStart w:id="0" w:name="_GoBack"/>
            <w:bookmarkEnd w:id="0"/>
            <w:r w:rsidR="005302D4">
              <w:rPr>
                <w:rFonts w:cstheme="minorHAnsi"/>
              </w:rPr>
              <w:t>research candidate</w:t>
            </w:r>
            <w:r w:rsidR="003D2755">
              <w:rPr>
                <w:rFonts w:cstheme="minorHAnsi"/>
              </w:rPr>
              <w:t>s better.  The dyads might include students from the same nation but, perhaps, from separate disciplines</w:t>
            </w:r>
          </w:p>
        </w:tc>
      </w:tr>
      <w:tr w:rsidR="005730F7" w:rsidRPr="006D7FC9" w14:paraId="3C505EDA" w14:textId="77777777" w:rsidTr="00BB30F9">
        <w:tc>
          <w:tcPr>
            <w:tcW w:w="4081" w:type="dxa"/>
            <w:shd w:val="clear" w:color="auto" w:fill="D9D9D9" w:themeFill="background1" w:themeFillShade="D9"/>
          </w:tcPr>
          <w:p w14:paraId="3E2B9902" w14:textId="7BA156AA" w:rsidR="005730F7" w:rsidRPr="000D729C" w:rsidRDefault="000D729C" w:rsidP="005730F7">
            <w:pPr>
              <w:rPr>
                <w:rFonts w:cstheme="minorHAnsi"/>
              </w:rPr>
            </w:pPr>
            <w:r>
              <w:rPr>
                <w:rFonts w:cstheme="minorHAnsi"/>
                <w:b/>
              </w:rPr>
              <w:lastRenderedPageBreak/>
              <w:t>Previous familiarity</w:t>
            </w:r>
            <w:r>
              <w:rPr>
                <w:rFonts w:cstheme="minorHAnsi"/>
              </w:rPr>
              <w:t xml:space="preserve">.  </w:t>
            </w:r>
            <w:r w:rsidR="008D2F82">
              <w:rPr>
                <w:rFonts w:cstheme="minorHAnsi"/>
              </w:rPr>
              <w:t xml:space="preserve">In general, researchers prefer to interview dyads who had not formed a pre-existing relationship.  </w:t>
            </w:r>
          </w:p>
        </w:tc>
        <w:tc>
          <w:tcPr>
            <w:tcW w:w="4879" w:type="dxa"/>
            <w:shd w:val="clear" w:color="auto" w:fill="D9D9D9" w:themeFill="background1" w:themeFillShade="D9"/>
          </w:tcPr>
          <w:p w14:paraId="126DD103" w14:textId="77777777" w:rsidR="00703054" w:rsidRDefault="008D2F82" w:rsidP="00703054">
            <w:pPr>
              <w:pStyle w:val="ListParagraph"/>
              <w:numPr>
                <w:ilvl w:val="0"/>
                <w:numId w:val="8"/>
              </w:numPr>
              <w:rPr>
                <w:rFonts w:cstheme="minorHAnsi"/>
              </w:rPr>
            </w:pPr>
            <w:r>
              <w:rPr>
                <w:rFonts w:cstheme="minorHAnsi"/>
              </w:rPr>
              <w:t>Pre-existing relationships can skew the responses of participants</w:t>
            </w:r>
            <w:r w:rsidR="00151A7D">
              <w:rPr>
                <w:rFonts w:cstheme="minorHAnsi"/>
              </w:rPr>
              <w:t>; they might be reluctant to express an opinion that could damage their relationshi</w:t>
            </w:r>
            <w:r w:rsidR="0006115F">
              <w:rPr>
                <w:rFonts w:cstheme="minorHAnsi"/>
              </w:rPr>
              <w:t>p</w:t>
            </w:r>
          </w:p>
          <w:p w14:paraId="491EC3F5" w14:textId="681CDD68" w:rsidR="005730F7" w:rsidRPr="00703054" w:rsidRDefault="00703054" w:rsidP="00703054">
            <w:pPr>
              <w:pStyle w:val="ListParagraph"/>
              <w:numPr>
                <w:ilvl w:val="0"/>
                <w:numId w:val="8"/>
              </w:numPr>
              <w:rPr>
                <w:rFonts w:cstheme="minorHAnsi"/>
              </w:rPr>
            </w:pPr>
            <w:r>
              <w:rPr>
                <w:rFonts w:cstheme="minorHAnsi"/>
              </w:rPr>
              <w:t>Researchers should interview dyads who have formed a pre-existing relationship—such as a couple—only if they are specifically interested in these relationships</w:t>
            </w:r>
            <w:r w:rsidR="005730F7" w:rsidRPr="00703054">
              <w:rPr>
                <w:rFonts w:cstheme="minorHAnsi"/>
              </w:rPr>
              <w:t xml:space="preserve">  </w:t>
            </w:r>
          </w:p>
        </w:tc>
      </w:tr>
      <w:tr w:rsidR="005730F7" w:rsidRPr="006D7FC9" w14:paraId="435EE9A2" w14:textId="77777777" w:rsidTr="00BB30F9">
        <w:tc>
          <w:tcPr>
            <w:tcW w:w="4081" w:type="dxa"/>
            <w:shd w:val="clear" w:color="auto" w:fill="D9D9D9" w:themeFill="background1" w:themeFillShade="D9"/>
          </w:tcPr>
          <w:p w14:paraId="7253AAA8" w14:textId="662AA04D" w:rsidR="005730F7" w:rsidRPr="00D12EA0" w:rsidRDefault="00A23F68" w:rsidP="005730F7">
            <w:pPr>
              <w:rPr>
                <w:rFonts w:cstheme="minorHAnsi"/>
              </w:rPr>
            </w:pPr>
            <w:r>
              <w:rPr>
                <w:rFonts w:cstheme="minorHAnsi"/>
                <w:b/>
              </w:rPr>
              <w:t>Precede with individual interviews</w:t>
            </w:r>
            <w:r>
              <w:rPr>
                <w:rFonts w:cstheme="minorHAnsi"/>
              </w:rPr>
              <w:t xml:space="preserve">.  Researchers </w:t>
            </w:r>
            <w:r w:rsidR="00D752F8">
              <w:rPr>
                <w:rFonts w:cstheme="minorHAnsi"/>
              </w:rPr>
              <w:t>often interview each person separately first—and then together later</w:t>
            </w:r>
            <w:r w:rsidR="00186416">
              <w:rPr>
                <w:rFonts w:cstheme="minorHAnsi"/>
              </w:rPr>
              <w:t>—to learn about the preferences and sensitivities of these individuals</w:t>
            </w:r>
            <w:r w:rsidR="005730F7" w:rsidRPr="00A15AEF">
              <w:rPr>
                <w:rFonts w:cstheme="minorHAnsi"/>
              </w:rPr>
              <w:t xml:space="preserve">  </w:t>
            </w:r>
          </w:p>
        </w:tc>
        <w:tc>
          <w:tcPr>
            <w:tcW w:w="4879" w:type="dxa"/>
            <w:shd w:val="clear" w:color="auto" w:fill="D9D9D9" w:themeFill="background1" w:themeFillShade="D9"/>
          </w:tcPr>
          <w:p w14:paraId="7FDA1BBA" w14:textId="77777777" w:rsidR="00377E12" w:rsidRDefault="00186416" w:rsidP="005730F7">
            <w:pPr>
              <w:pStyle w:val="ListParagraph"/>
              <w:numPr>
                <w:ilvl w:val="0"/>
                <w:numId w:val="8"/>
              </w:numPr>
              <w:rPr>
                <w:rFonts w:cstheme="minorHAnsi"/>
              </w:rPr>
            </w:pPr>
            <w:r>
              <w:rPr>
                <w:rFonts w:cstheme="minorHAnsi"/>
              </w:rPr>
              <w:t xml:space="preserve">Researchers might, for example, learn about </w:t>
            </w:r>
            <w:r w:rsidR="003773DC">
              <w:rPr>
                <w:rFonts w:cstheme="minorHAnsi"/>
              </w:rPr>
              <w:t xml:space="preserve"> the sensitivities of </w:t>
            </w:r>
            <w:r w:rsidR="00377E12">
              <w:rPr>
                <w:rFonts w:cstheme="minorHAnsi"/>
              </w:rPr>
              <w:t xml:space="preserve">each </w:t>
            </w:r>
            <w:r w:rsidR="003773DC">
              <w:rPr>
                <w:rFonts w:cstheme="minorHAnsi"/>
              </w:rPr>
              <w:t>person</w:t>
            </w:r>
            <w:r w:rsidR="00377E12">
              <w:rPr>
                <w:rFonts w:cstheme="minorHAnsi"/>
              </w:rPr>
              <w:t xml:space="preserve">—and thus </w:t>
            </w:r>
            <w:r>
              <w:rPr>
                <w:rFonts w:cstheme="minorHAnsi"/>
              </w:rPr>
              <w:t xml:space="preserve">words, phrases, or questions </w:t>
            </w:r>
            <w:r w:rsidR="003773DC">
              <w:rPr>
                <w:rFonts w:cstheme="minorHAnsi"/>
              </w:rPr>
              <w:t>they should avoid</w:t>
            </w:r>
          </w:p>
          <w:p w14:paraId="00226A91" w14:textId="77C91DFF" w:rsidR="005730F7" w:rsidRPr="00D12EA0" w:rsidRDefault="00377E12" w:rsidP="005730F7">
            <w:pPr>
              <w:pStyle w:val="ListParagraph"/>
              <w:numPr>
                <w:ilvl w:val="0"/>
                <w:numId w:val="8"/>
              </w:numPr>
              <w:rPr>
                <w:rFonts w:cstheme="minorHAnsi"/>
              </w:rPr>
            </w:pPr>
            <w:r>
              <w:rPr>
                <w:rFonts w:cstheme="minorHAnsi"/>
              </w:rPr>
              <w:t>After the</w:t>
            </w:r>
            <w:r w:rsidR="00B27164">
              <w:rPr>
                <w:rFonts w:cstheme="minorHAnsi"/>
              </w:rPr>
              <w:t xml:space="preserve"> interviews with each person, the researcher can more readily identify which dyads might clash and thus rearrange these dyads accordingly</w:t>
            </w:r>
            <w:r w:rsidR="005730F7" w:rsidRPr="00A15AEF">
              <w:rPr>
                <w:rFonts w:cstheme="minorHAnsi"/>
              </w:rPr>
              <w:t xml:space="preserve"> </w:t>
            </w:r>
          </w:p>
        </w:tc>
      </w:tr>
      <w:tr w:rsidR="005730F7" w14:paraId="7A0409E3" w14:textId="77777777" w:rsidTr="00BB30F9">
        <w:tc>
          <w:tcPr>
            <w:tcW w:w="4081" w:type="dxa"/>
            <w:shd w:val="clear" w:color="auto" w:fill="D9D9D9" w:themeFill="background1" w:themeFillShade="D9"/>
          </w:tcPr>
          <w:p w14:paraId="2B35C518" w14:textId="468ED099" w:rsidR="005730F7" w:rsidRPr="00E82FEC" w:rsidRDefault="00EE4A0F" w:rsidP="005730F7">
            <w:pPr>
              <w:rPr>
                <w:rFonts w:cstheme="minorHAnsi"/>
              </w:rPr>
            </w:pPr>
            <w:r>
              <w:rPr>
                <w:rFonts w:cstheme="minorHAnsi"/>
                <w:b/>
              </w:rPr>
              <w:t>Start</w:t>
            </w:r>
            <w:r w:rsidR="00B27164">
              <w:rPr>
                <w:rFonts w:cstheme="minorHAnsi"/>
                <w:b/>
              </w:rPr>
              <w:t xml:space="preserve"> with </w:t>
            </w:r>
            <w:r w:rsidR="00E82FEC">
              <w:rPr>
                <w:rFonts w:cstheme="minorHAnsi"/>
                <w:b/>
              </w:rPr>
              <w:t>questions to promote familiarity</w:t>
            </w:r>
            <w:r w:rsidR="00E82FEC">
              <w:rPr>
                <w:rFonts w:cstheme="minorHAnsi"/>
              </w:rPr>
              <w:t xml:space="preserve">.  </w:t>
            </w:r>
            <w:r w:rsidR="002D52A9">
              <w:rPr>
                <w:rFonts w:cstheme="minorHAnsi"/>
              </w:rPr>
              <w:t>During the first ten minutes or so of the interview</w:t>
            </w:r>
            <w:r w:rsidR="00E82FEC">
              <w:rPr>
                <w:rFonts w:cstheme="minorHAnsi"/>
              </w:rPr>
              <w:t xml:space="preserve">, </w:t>
            </w:r>
            <w:r w:rsidR="00166997">
              <w:rPr>
                <w:rFonts w:cstheme="minorHAnsi"/>
              </w:rPr>
              <w:t xml:space="preserve">researchers should begin with questions that enable the participants to </w:t>
            </w:r>
            <w:r w:rsidR="002D52A9">
              <w:rPr>
                <w:rFonts w:cstheme="minorHAnsi"/>
              </w:rPr>
              <w:t>demonstrate their attributes</w:t>
            </w:r>
            <w:r w:rsidR="00166997">
              <w:rPr>
                <w:rFonts w:cstheme="minorHAnsi"/>
              </w:rPr>
              <w:t xml:space="preserve"> and </w:t>
            </w:r>
            <w:r w:rsidR="002D52A9">
              <w:rPr>
                <w:rFonts w:cstheme="minorHAnsi"/>
              </w:rPr>
              <w:t xml:space="preserve">share their </w:t>
            </w:r>
            <w:r w:rsidR="00166997">
              <w:rPr>
                <w:rFonts w:cstheme="minorHAnsi"/>
              </w:rPr>
              <w:t xml:space="preserve">values </w:t>
            </w:r>
          </w:p>
        </w:tc>
        <w:tc>
          <w:tcPr>
            <w:tcW w:w="4879" w:type="dxa"/>
            <w:shd w:val="clear" w:color="auto" w:fill="D9D9D9" w:themeFill="background1" w:themeFillShade="D9"/>
          </w:tcPr>
          <w:p w14:paraId="58D7F040" w14:textId="77777777" w:rsidR="003C70C6" w:rsidRDefault="003C70C6" w:rsidP="005730F7">
            <w:pPr>
              <w:pStyle w:val="ListParagraph"/>
              <w:numPr>
                <w:ilvl w:val="0"/>
                <w:numId w:val="8"/>
              </w:numPr>
              <w:rPr>
                <w:rFonts w:cstheme="minorHAnsi"/>
              </w:rPr>
            </w:pPr>
            <w:r>
              <w:rPr>
                <w:rFonts w:cstheme="minorHAnsi"/>
              </w:rPr>
              <w:t>Participants might be prompted to describe their roles or answer other questions that demonstrate some of their attributes or qualities</w:t>
            </w:r>
          </w:p>
          <w:p w14:paraId="3F93D191" w14:textId="77777777" w:rsidR="003C70C6" w:rsidRDefault="003C70C6" w:rsidP="005730F7">
            <w:pPr>
              <w:pStyle w:val="ListParagraph"/>
              <w:numPr>
                <w:ilvl w:val="0"/>
                <w:numId w:val="8"/>
              </w:numPr>
              <w:rPr>
                <w:rFonts w:cstheme="minorHAnsi"/>
              </w:rPr>
            </w:pPr>
            <w:r>
              <w:rPr>
                <w:rFonts w:cstheme="minorHAnsi"/>
              </w:rPr>
              <w:t>Participants also could be asked to share values, such as whether they prioritize financial gain over personal development</w:t>
            </w:r>
          </w:p>
          <w:p w14:paraId="48D6F865" w14:textId="12F1B68C" w:rsidR="005730F7" w:rsidRPr="002E12A0" w:rsidRDefault="003C70C6" w:rsidP="005730F7">
            <w:pPr>
              <w:pStyle w:val="ListParagraph"/>
              <w:numPr>
                <w:ilvl w:val="0"/>
                <w:numId w:val="8"/>
              </w:numPr>
              <w:rPr>
                <w:rFonts w:cstheme="minorHAnsi"/>
              </w:rPr>
            </w:pPr>
            <w:r>
              <w:rPr>
                <w:rFonts w:cstheme="minorHAnsi"/>
              </w:rPr>
              <w:t>After individuals contemplate their attributes and values, they tend to feel more resilient</w:t>
            </w:r>
            <w:r w:rsidR="00B60B04">
              <w:rPr>
                <w:rFonts w:cstheme="minorHAnsi"/>
              </w:rPr>
              <w:t>, according to research on self-affirmation theory</w:t>
            </w:r>
            <w:r w:rsidR="00DA4A7E">
              <w:rPr>
                <w:rFonts w:cstheme="minorHAnsi"/>
              </w:rPr>
              <w:t xml:space="preserve"> (</w:t>
            </w:r>
            <w:r w:rsidR="00DA4A7E" w:rsidRPr="00DA4A7E">
              <w:rPr>
                <w:rFonts w:cstheme="minorHAnsi"/>
              </w:rPr>
              <w:t>Koole</w:t>
            </w:r>
            <w:r w:rsidR="00DA4A7E">
              <w:rPr>
                <w:rFonts w:cstheme="minorHAnsi"/>
              </w:rPr>
              <w:t xml:space="preserve"> et al., 2006)</w:t>
            </w:r>
            <w:r>
              <w:rPr>
                <w:rFonts w:cstheme="minorHAnsi"/>
              </w:rPr>
              <w:t xml:space="preserve"> </w:t>
            </w:r>
            <w:r w:rsidR="002D52A9">
              <w:rPr>
                <w:rFonts w:cstheme="minorHAnsi"/>
              </w:rPr>
              <w:t xml:space="preserve"> </w:t>
            </w:r>
            <w:r w:rsidR="007732BF">
              <w:rPr>
                <w:rFonts w:cstheme="minorHAnsi"/>
              </w:rPr>
              <w:t xml:space="preserve"> </w:t>
            </w:r>
            <w:r w:rsidR="005730F7" w:rsidRPr="00A15AEF">
              <w:rPr>
                <w:rFonts w:cstheme="minorHAnsi"/>
              </w:rPr>
              <w:t xml:space="preserve">  </w:t>
            </w:r>
          </w:p>
        </w:tc>
      </w:tr>
      <w:tr w:rsidR="00B27164" w14:paraId="7937C890" w14:textId="77777777" w:rsidTr="00BB30F9">
        <w:tc>
          <w:tcPr>
            <w:tcW w:w="4081" w:type="dxa"/>
            <w:shd w:val="clear" w:color="auto" w:fill="D9D9D9" w:themeFill="background1" w:themeFillShade="D9"/>
          </w:tcPr>
          <w:p w14:paraId="624BD4BF" w14:textId="12BE5C02" w:rsidR="00B27164" w:rsidRPr="00C5799B" w:rsidRDefault="002D1608" w:rsidP="005730F7">
            <w:pPr>
              <w:rPr>
                <w:rFonts w:cstheme="minorHAnsi"/>
              </w:rPr>
            </w:pPr>
            <w:r>
              <w:rPr>
                <w:rFonts w:cstheme="minorHAnsi"/>
                <w:b/>
              </w:rPr>
              <w:lastRenderedPageBreak/>
              <w:t>Design the schedule of question</w:t>
            </w:r>
            <w:r w:rsidR="00262E29">
              <w:rPr>
                <w:rFonts w:cstheme="minorHAnsi"/>
                <w:b/>
              </w:rPr>
              <w:t>s</w:t>
            </w:r>
            <w:r w:rsidR="00C5799B">
              <w:rPr>
                <w:rFonts w:cstheme="minorHAnsi"/>
              </w:rPr>
              <w:t xml:space="preserve">.  </w:t>
            </w:r>
            <w:r w:rsidR="002B01A2">
              <w:rPr>
                <w:rFonts w:cstheme="minorHAnsi"/>
              </w:rPr>
              <w:t xml:space="preserve">Researchers often utilize the funnel approach, in which they discuss the topic broadly, and then narrow the conversation to more specific issues. </w:t>
            </w:r>
          </w:p>
        </w:tc>
        <w:tc>
          <w:tcPr>
            <w:tcW w:w="4879" w:type="dxa"/>
            <w:shd w:val="clear" w:color="auto" w:fill="D9D9D9" w:themeFill="background1" w:themeFillShade="D9"/>
          </w:tcPr>
          <w:p w14:paraId="63A3CC5D" w14:textId="247B23D7" w:rsidR="00B27164" w:rsidRDefault="002B01A2" w:rsidP="002B01A2">
            <w:pPr>
              <w:rPr>
                <w:rFonts w:cstheme="minorHAnsi"/>
              </w:rPr>
            </w:pPr>
            <w:r>
              <w:rPr>
                <w:rFonts w:cstheme="minorHAnsi"/>
              </w:rPr>
              <w:t xml:space="preserve">Many researchers ask five classes of questions in turn: </w:t>
            </w:r>
            <w:r w:rsidRPr="00564928">
              <w:rPr>
                <w:rFonts w:cstheme="minorHAnsi"/>
              </w:rPr>
              <w:t xml:space="preserve">opening, </w:t>
            </w:r>
            <w:r>
              <w:rPr>
                <w:rFonts w:cstheme="minorHAnsi"/>
              </w:rPr>
              <w:t xml:space="preserve">introductory, </w:t>
            </w:r>
            <w:r w:rsidRPr="00564928">
              <w:rPr>
                <w:rFonts w:cstheme="minorHAnsi"/>
              </w:rPr>
              <w:t>transition, key, and closing questions</w:t>
            </w:r>
            <w:r w:rsidR="00A64534">
              <w:rPr>
                <w:rFonts w:cstheme="minorHAnsi"/>
              </w:rPr>
              <w:t>.</w:t>
            </w:r>
          </w:p>
          <w:p w14:paraId="75B14AB9" w14:textId="77777777" w:rsidR="002B01A2" w:rsidRDefault="002B01A2" w:rsidP="002B01A2">
            <w:pPr>
              <w:rPr>
                <w:rFonts w:cstheme="minorHAnsi"/>
              </w:rPr>
            </w:pPr>
          </w:p>
          <w:p w14:paraId="632F5791" w14:textId="4769256C" w:rsidR="002B01A2" w:rsidRDefault="002B01A2" w:rsidP="002B01A2">
            <w:pPr>
              <w:pStyle w:val="ListParagraph"/>
              <w:numPr>
                <w:ilvl w:val="0"/>
                <w:numId w:val="11"/>
              </w:numPr>
              <w:rPr>
                <w:rFonts w:cstheme="minorHAnsi"/>
              </w:rPr>
            </w:pPr>
            <w:r w:rsidRPr="0078472D">
              <w:rPr>
                <w:rFonts w:cstheme="minorHAnsi"/>
                <w:b/>
              </w:rPr>
              <w:t>opening questions</w:t>
            </w:r>
            <w:r>
              <w:rPr>
                <w:rFonts w:cstheme="minorHAnsi"/>
              </w:rPr>
              <w:t xml:space="preserve">: ask simple questions </w:t>
            </w:r>
            <w:r w:rsidR="004E4958">
              <w:rPr>
                <w:rFonts w:cstheme="minorHAnsi"/>
              </w:rPr>
              <w:t xml:space="preserve">that participants can readily answer—primarily to promote their confidence.  </w:t>
            </w:r>
            <w:r w:rsidR="0078472D">
              <w:rPr>
                <w:rFonts w:cstheme="minorHAnsi"/>
              </w:rPr>
              <w:t>At</w:t>
            </w:r>
            <w:r w:rsidR="004E4958">
              <w:rPr>
                <w:rFonts w:cstheme="minorHAnsi"/>
              </w:rPr>
              <w:t xml:space="preserve"> this time, do not ask controversial questions that could provoke division.  An example might be </w:t>
            </w:r>
            <w:r>
              <w:rPr>
                <w:rFonts w:cstheme="minorHAnsi"/>
              </w:rPr>
              <w:t>“</w:t>
            </w:r>
            <w:r w:rsidR="004E4958">
              <w:rPr>
                <w:rFonts w:cstheme="minorHAnsi"/>
              </w:rPr>
              <w:t>T</w:t>
            </w:r>
            <w:r>
              <w:rPr>
                <w:rFonts w:cstheme="minorHAnsi"/>
              </w:rPr>
              <w:t xml:space="preserve">ell me </w:t>
            </w:r>
            <w:r w:rsidR="004E4958">
              <w:rPr>
                <w:rFonts w:cstheme="minorHAnsi"/>
              </w:rPr>
              <w:t xml:space="preserve">about </w:t>
            </w:r>
            <w:r w:rsidR="00A36A19">
              <w:rPr>
                <w:rFonts w:cstheme="minorHAnsi"/>
              </w:rPr>
              <w:t xml:space="preserve">why you chose this </w:t>
            </w:r>
            <w:r w:rsidR="003D2755">
              <w:rPr>
                <w:rFonts w:cstheme="minorHAnsi"/>
              </w:rPr>
              <w:t>university</w:t>
            </w:r>
            <w:r w:rsidR="004E4958">
              <w:rPr>
                <w:rFonts w:cstheme="minorHAnsi"/>
              </w:rPr>
              <w:t>” or “Tell me about your experiences with</w:t>
            </w:r>
            <w:r w:rsidR="00A36A19">
              <w:rPr>
                <w:rFonts w:cstheme="minorHAnsi"/>
              </w:rPr>
              <w:t xml:space="preserve"> universities</w:t>
            </w:r>
            <w:r w:rsidR="004E4958">
              <w:rPr>
                <w:rFonts w:cstheme="minorHAnsi"/>
              </w:rPr>
              <w:t>”</w:t>
            </w:r>
          </w:p>
          <w:p w14:paraId="405F34E4" w14:textId="190D0507" w:rsidR="004E4958" w:rsidRDefault="004E4958" w:rsidP="002B01A2">
            <w:pPr>
              <w:pStyle w:val="ListParagraph"/>
              <w:numPr>
                <w:ilvl w:val="0"/>
                <w:numId w:val="11"/>
              </w:numPr>
              <w:rPr>
                <w:rFonts w:cstheme="minorHAnsi"/>
              </w:rPr>
            </w:pPr>
            <w:r w:rsidRPr="0078472D">
              <w:rPr>
                <w:rFonts w:cstheme="minorHAnsi"/>
                <w:b/>
              </w:rPr>
              <w:t>introductory questions</w:t>
            </w:r>
            <w:r>
              <w:rPr>
                <w:rFonts w:cstheme="minorHAnsi"/>
              </w:rPr>
              <w:t xml:space="preserve">: </w:t>
            </w:r>
            <w:r w:rsidR="00A36A19">
              <w:rPr>
                <w:rFonts w:cstheme="minorHAnsi"/>
              </w:rPr>
              <w:t xml:space="preserve">Ask questions that prompt individuals to start contemplating the issue.  </w:t>
            </w:r>
            <w:r w:rsidR="003100C5">
              <w:rPr>
                <w:rFonts w:cstheme="minorHAnsi"/>
              </w:rPr>
              <w:t>An example could be “After you enrolled, what differed from hour expectations”</w:t>
            </w:r>
            <w:r w:rsidR="00A36A19">
              <w:rPr>
                <w:rFonts w:cstheme="minorHAnsi"/>
              </w:rPr>
              <w:t xml:space="preserve"> </w:t>
            </w:r>
          </w:p>
          <w:p w14:paraId="16EE0877" w14:textId="3C895E1C" w:rsidR="00B43B97" w:rsidRDefault="003100C5" w:rsidP="002B01A2">
            <w:pPr>
              <w:pStyle w:val="ListParagraph"/>
              <w:numPr>
                <w:ilvl w:val="0"/>
                <w:numId w:val="11"/>
              </w:numPr>
              <w:rPr>
                <w:rFonts w:cstheme="minorHAnsi"/>
              </w:rPr>
            </w:pPr>
            <w:r w:rsidRPr="0078472D">
              <w:rPr>
                <w:rFonts w:cstheme="minorHAnsi"/>
                <w:b/>
              </w:rPr>
              <w:t>transition questions</w:t>
            </w:r>
            <w:r>
              <w:rPr>
                <w:rFonts w:cstheme="minorHAnsi"/>
              </w:rPr>
              <w:t xml:space="preserve">: Ask questions that shift </w:t>
            </w:r>
            <w:r w:rsidR="0078472D">
              <w:rPr>
                <w:rFonts w:cstheme="minorHAnsi"/>
              </w:rPr>
              <w:t xml:space="preserve">the discussion </w:t>
            </w:r>
            <w:r>
              <w:rPr>
                <w:rFonts w:cstheme="minorHAnsi"/>
              </w:rPr>
              <w:t>towards the key issues you want to discuss.  An example could be “After you enrolled, what were some of the main disappointments you experienced”</w:t>
            </w:r>
          </w:p>
          <w:p w14:paraId="0AF2A9EB" w14:textId="4943A2AA" w:rsidR="00B43B97" w:rsidRDefault="00B43B97" w:rsidP="002B01A2">
            <w:pPr>
              <w:pStyle w:val="ListParagraph"/>
              <w:numPr>
                <w:ilvl w:val="0"/>
                <w:numId w:val="11"/>
              </w:numPr>
              <w:rPr>
                <w:rFonts w:cstheme="minorHAnsi"/>
              </w:rPr>
            </w:pPr>
            <w:r w:rsidRPr="00A22233">
              <w:rPr>
                <w:rFonts w:cstheme="minorHAnsi"/>
                <w:b/>
              </w:rPr>
              <w:t>key questions</w:t>
            </w:r>
            <w:r>
              <w:rPr>
                <w:rFonts w:cstheme="minorHAnsi"/>
              </w:rPr>
              <w:t xml:space="preserve">: Most of the </w:t>
            </w:r>
            <w:r w:rsidR="00A22233">
              <w:rPr>
                <w:rFonts w:cstheme="minorHAnsi"/>
              </w:rPr>
              <w:t>session</w:t>
            </w:r>
            <w:r>
              <w:rPr>
                <w:rFonts w:cstheme="minorHAnsi"/>
              </w:rPr>
              <w:t xml:space="preserve"> should revolve around these key question—the main concerns or issues you want to discuss.  An example could be “How do you feel the university could have prevented these disappointments”</w:t>
            </w:r>
          </w:p>
          <w:p w14:paraId="122D919C" w14:textId="6527E86B" w:rsidR="003100C5" w:rsidRPr="002B01A2" w:rsidRDefault="00D25528" w:rsidP="002B01A2">
            <w:pPr>
              <w:pStyle w:val="ListParagraph"/>
              <w:numPr>
                <w:ilvl w:val="0"/>
                <w:numId w:val="11"/>
              </w:numPr>
              <w:rPr>
                <w:rFonts w:cstheme="minorHAnsi"/>
              </w:rPr>
            </w:pPr>
            <w:r w:rsidRPr="00222193">
              <w:rPr>
                <w:rFonts w:cstheme="minorHAnsi"/>
                <w:b/>
              </w:rPr>
              <w:t>ending</w:t>
            </w:r>
            <w:r w:rsidR="00B43B97" w:rsidRPr="00222193">
              <w:rPr>
                <w:rFonts w:cstheme="minorHAnsi"/>
                <w:b/>
              </w:rPr>
              <w:t xml:space="preserve"> questions</w:t>
            </w:r>
            <w:r w:rsidR="00B43B97">
              <w:rPr>
                <w:rFonts w:cstheme="minorHAnsi"/>
              </w:rPr>
              <w:t xml:space="preserve">: </w:t>
            </w:r>
            <w:r>
              <w:rPr>
                <w:rFonts w:cstheme="minorHAnsi"/>
              </w:rPr>
              <w:t>These questions are designed to close the interview and may include “Would you like to discuss anything else about your experience at the university”</w:t>
            </w:r>
            <w:r w:rsidR="003100C5">
              <w:rPr>
                <w:rFonts w:cstheme="minorHAnsi"/>
              </w:rPr>
              <w:t xml:space="preserve"> </w:t>
            </w:r>
          </w:p>
        </w:tc>
      </w:tr>
      <w:tr w:rsidR="00C518B1" w14:paraId="2E0F6271" w14:textId="77777777" w:rsidTr="00BB30F9">
        <w:tc>
          <w:tcPr>
            <w:tcW w:w="4081" w:type="dxa"/>
            <w:shd w:val="clear" w:color="auto" w:fill="D9D9D9" w:themeFill="background1" w:themeFillShade="D9"/>
          </w:tcPr>
          <w:p w14:paraId="26F917D1" w14:textId="61E60755" w:rsidR="00C518B1" w:rsidRPr="00222B92" w:rsidRDefault="00222B92" w:rsidP="005730F7">
            <w:pPr>
              <w:rPr>
                <w:rFonts w:cstheme="minorHAnsi"/>
              </w:rPr>
            </w:pPr>
            <w:r>
              <w:rPr>
                <w:rFonts w:cstheme="minorHAnsi"/>
                <w:b/>
              </w:rPr>
              <w:t>Permit conversation</w:t>
            </w:r>
            <w:r>
              <w:rPr>
                <w:rFonts w:cstheme="minorHAnsi"/>
              </w:rPr>
              <w:t>.  If participants begin to converse with each other, do not interrupt, unless the individuals stray excessively from the topic of concern. These conversations can generate vital insights.</w:t>
            </w:r>
          </w:p>
        </w:tc>
        <w:tc>
          <w:tcPr>
            <w:tcW w:w="4879" w:type="dxa"/>
            <w:shd w:val="clear" w:color="auto" w:fill="D9D9D9" w:themeFill="background1" w:themeFillShade="D9"/>
          </w:tcPr>
          <w:p w14:paraId="3D137229" w14:textId="77777777" w:rsidR="00C518B1" w:rsidRDefault="00C518B1" w:rsidP="002B01A2">
            <w:pPr>
              <w:rPr>
                <w:rFonts w:cstheme="minorHAnsi"/>
              </w:rPr>
            </w:pPr>
          </w:p>
        </w:tc>
      </w:tr>
    </w:tbl>
    <w:p w14:paraId="4824E4F5" w14:textId="77058599" w:rsidR="00564928" w:rsidRDefault="00564928" w:rsidP="00564928">
      <w:pPr>
        <w:rPr>
          <w:rFonts w:cstheme="minorHAnsi"/>
          <w:szCs w:val="22"/>
        </w:rPr>
      </w:pPr>
    </w:p>
    <w:p w14:paraId="2BDDB82A" w14:textId="2DD71D5F" w:rsidR="00564928" w:rsidRDefault="00564928" w:rsidP="00564928">
      <w:pPr>
        <w:rPr>
          <w:rFonts w:cstheme="minorHAnsi"/>
          <w:szCs w:val="22"/>
        </w:rPr>
      </w:pPr>
    </w:p>
    <w:p w14:paraId="6776348B" w14:textId="77777777" w:rsidR="00093B0C" w:rsidRPr="00611A18" w:rsidRDefault="00093B0C" w:rsidP="00093B0C">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93B0C" w:rsidRPr="00611A18" w14:paraId="438D7135" w14:textId="77777777" w:rsidTr="00BB30F9">
        <w:tc>
          <w:tcPr>
            <w:tcW w:w="9010" w:type="dxa"/>
            <w:shd w:val="clear" w:color="auto" w:fill="BDD6EE" w:themeFill="accent5" w:themeFillTint="66"/>
          </w:tcPr>
          <w:p w14:paraId="3CCA9A47" w14:textId="42EE8A19" w:rsidR="00093B0C" w:rsidRPr="00611A18" w:rsidRDefault="00093B0C" w:rsidP="00BB30F9">
            <w:pPr>
              <w:jc w:val="center"/>
              <w:rPr>
                <w:rFonts w:cstheme="minorHAnsi"/>
                <w:b/>
              </w:rPr>
            </w:pPr>
            <w:r>
              <w:rPr>
                <w:rFonts w:cstheme="minorHAnsi"/>
                <w:b/>
              </w:rPr>
              <w:lastRenderedPageBreak/>
              <w:t>References</w:t>
            </w:r>
          </w:p>
        </w:tc>
      </w:tr>
    </w:tbl>
    <w:p w14:paraId="000CBAE9" w14:textId="77777777" w:rsidR="005069FD" w:rsidRDefault="005069FD" w:rsidP="005069FD">
      <w:pPr>
        <w:rPr>
          <w:rFonts w:cstheme="minorHAnsi"/>
          <w:szCs w:val="22"/>
        </w:rPr>
      </w:pPr>
    </w:p>
    <w:p w14:paraId="364690D8" w14:textId="7CF3B7F5" w:rsidR="005069FD" w:rsidRDefault="005069FD" w:rsidP="005069FD">
      <w:pPr>
        <w:rPr>
          <w:rFonts w:cstheme="minorHAnsi"/>
          <w:szCs w:val="22"/>
        </w:rPr>
      </w:pPr>
      <w:r w:rsidRPr="005069FD">
        <w:rPr>
          <w:rFonts w:cstheme="minorHAnsi"/>
          <w:szCs w:val="22"/>
        </w:rPr>
        <w:t>Caldwell</w:t>
      </w:r>
      <w:r>
        <w:rPr>
          <w:rFonts w:cstheme="minorHAnsi"/>
          <w:szCs w:val="22"/>
        </w:rPr>
        <w:t xml:space="preserve">, K. (2014).  </w:t>
      </w:r>
      <w:r w:rsidRPr="005069FD">
        <w:rPr>
          <w:rFonts w:cstheme="minorHAnsi"/>
          <w:szCs w:val="22"/>
        </w:rPr>
        <w:t>Dyadic interviewing: a</w:t>
      </w:r>
      <w:r>
        <w:rPr>
          <w:rFonts w:cstheme="minorHAnsi"/>
          <w:szCs w:val="22"/>
        </w:rPr>
        <w:t xml:space="preserve"> </w:t>
      </w:r>
      <w:r w:rsidRPr="005069FD">
        <w:rPr>
          <w:rFonts w:cstheme="minorHAnsi"/>
          <w:szCs w:val="22"/>
        </w:rPr>
        <w:t>technique valuing</w:t>
      </w:r>
      <w:r>
        <w:rPr>
          <w:rFonts w:cstheme="minorHAnsi"/>
          <w:szCs w:val="22"/>
        </w:rPr>
        <w:t xml:space="preserve"> </w:t>
      </w:r>
      <w:r w:rsidRPr="005069FD">
        <w:rPr>
          <w:rFonts w:cstheme="minorHAnsi"/>
          <w:szCs w:val="22"/>
        </w:rPr>
        <w:t>interdependence in interviews</w:t>
      </w:r>
      <w:r>
        <w:rPr>
          <w:rFonts w:cstheme="minorHAnsi"/>
          <w:szCs w:val="22"/>
        </w:rPr>
        <w:t xml:space="preserve"> </w:t>
      </w:r>
      <w:r w:rsidRPr="005069FD">
        <w:rPr>
          <w:rFonts w:cstheme="minorHAnsi"/>
          <w:szCs w:val="22"/>
        </w:rPr>
        <w:t>with individuals with</w:t>
      </w:r>
      <w:r>
        <w:rPr>
          <w:rFonts w:cstheme="minorHAnsi"/>
          <w:szCs w:val="22"/>
        </w:rPr>
        <w:t xml:space="preserve"> </w:t>
      </w:r>
      <w:r w:rsidRPr="005069FD">
        <w:rPr>
          <w:rFonts w:cstheme="minorHAnsi"/>
          <w:szCs w:val="22"/>
        </w:rPr>
        <w:t>intellectual disabilities</w:t>
      </w:r>
      <w:r>
        <w:rPr>
          <w:rFonts w:cstheme="minorHAnsi"/>
          <w:szCs w:val="22"/>
        </w:rPr>
        <w:t xml:space="preserve">. </w:t>
      </w:r>
      <w:r w:rsidRPr="005069FD">
        <w:rPr>
          <w:rFonts w:cstheme="minorHAnsi"/>
          <w:szCs w:val="22"/>
        </w:rPr>
        <w:t>Qualitative Research</w:t>
      </w:r>
      <w:r>
        <w:rPr>
          <w:rFonts w:cstheme="minorHAnsi"/>
          <w:szCs w:val="22"/>
        </w:rPr>
        <w:t xml:space="preserve">, </w:t>
      </w:r>
      <w:r w:rsidRPr="005069FD">
        <w:rPr>
          <w:rFonts w:cstheme="minorHAnsi"/>
          <w:szCs w:val="22"/>
        </w:rPr>
        <w:t>14(4)</w:t>
      </w:r>
      <w:r>
        <w:rPr>
          <w:rFonts w:cstheme="minorHAnsi"/>
          <w:szCs w:val="22"/>
        </w:rPr>
        <w:t>,</w:t>
      </w:r>
      <w:r w:rsidRPr="005069FD">
        <w:rPr>
          <w:rFonts w:cstheme="minorHAnsi"/>
          <w:szCs w:val="22"/>
        </w:rPr>
        <w:t xml:space="preserve"> 488</w:t>
      </w:r>
      <w:r>
        <w:rPr>
          <w:rFonts w:cstheme="minorHAnsi"/>
          <w:szCs w:val="22"/>
        </w:rPr>
        <w:t>-</w:t>
      </w:r>
      <w:r w:rsidRPr="005069FD">
        <w:rPr>
          <w:rFonts w:cstheme="minorHAnsi"/>
          <w:szCs w:val="22"/>
        </w:rPr>
        <w:t>507</w:t>
      </w:r>
      <w:r>
        <w:rPr>
          <w:rFonts w:cstheme="minorHAnsi"/>
          <w:szCs w:val="22"/>
        </w:rPr>
        <w:t>. doi</w:t>
      </w:r>
      <w:r w:rsidRPr="005069FD">
        <w:rPr>
          <w:rFonts w:cstheme="minorHAnsi"/>
          <w:szCs w:val="22"/>
        </w:rPr>
        <w:t>: 10.1177/1468794113490718</w:t>
      </w:r>
    </w:p>
    <w:p w14:paraId="2CE52B50" w14:textId="6EBB78E5" w:rsidR="00DA4A7E" w:rsidRDefault="00DA4A7E" w:rsidP="005069FD">
      <w:pPr>
        <w:rPr>
          <w:rFonts w:cstheme="minorHAnsi"/>
          <w:szCs w:val="22"/>
        </w:rPr>
      </w:pPr>
    </w:p>
    <w:p w14:paraId="2919EB6B" w14:textId="31DDFBD4" w:rsidR="00DA4A7E" w:rsidRDefault="00DA4A7E" w:rsidP="005069FD">
      <w:pPr>
        <w:rPr>
          <w:rFonts w:cstheme="minorHAnsi"/>
          <w:szCs w:val="22"/>
        </w:rPr>
      </w:pPr>
      <w:r w:rsidRPr="00DA4A7E">
        <w:rPr>
          <w:rFonts w:cstheme="minorHAnsi"/>
          <w:szCs w:val="22"/>
        </w:rPr>
        <w:t>Koole, S. L., Smeets, K., van Knippenberg, A., &amp; Dijksterhuis, A. (2006). The cessation of rumination through self-affirmation.  Journal of Personality and Social Psychology, 77, 111-125.</w:t>
      </w:r>
    </w:p>
    <w:p w14:paraId="0DF0F189" w14:textId="61B34AB9" w:rsidR="005069FD" w:rsidRPr="005069FD" w:rsidRDefault="005069FD" w:rsidP="005069FD">
      <w:pPr>
        <w:rPr>
          <w:rFonts w:cstheme="minorHAnsi"/>
          <w:szCs w:val="22"/>
        </w:rPr>
      </w:pPr>
    </w:p>
    <w:p w14:paraId="5B9CDAC4" w14:textId="4C2F8F0D" w:rsidR="005069FD" w:rsidRDefault="005069FD" w:rsidP="005069FD">
      <w:pPr>
        <w:rPr>
          <w:rFonts w:cstheme="minorHAnsi"/>
          <w:szCs w:val="22"/>
        </w:rPr>
      </w:pPr>
      <w:r>
        <w:rPr>
          <w:rFonts w:cstheme="minorHAnsi"/>
          <w:szCs w:val="22"/>
        </w:rPr>
        <w:t xml:space="preserve">, </w:t>
      </w:r>
    </w:p>
    <w:p w14:paraId="308E8AF9" w14:textId="77777777" w:rsidR="00093B0C" w:rsidRDefault="00093B0C" w:rsidP="00564928">
      <w:pPr>
        <w:rPr>
          <w:rFonts w:cstheme="minorHAnsi"/>
          <w:szCs w:val="22"/>
        </w:rPr>
      </w:pPr>
    </w:p>
    <w:sectPr w:rsidR="00093B0C"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9F3BF" w14:textId="77777777" w:rsidR="00A14E75" w:rsidRDefault="00A14E75" w:rsidP="00703C03">
      <w:r>
        <w:separator/>
      </w:r>
    </w:p>
  </w:endnote>
  <w:endnote w:type="continuationSeparator" w:id="0">
    <w:p w14:paraId="3BAEC349" w14:textId="77777777" w:rsidR="00A14E75" w:rsidRDefault="00A14E75"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87C9" w14:textId="77777777" w:rsidR="00A14E75" w:rsidRDefault="00A14E75" w:rsidP="00703C03">
      <w:r>
        <w:separator/>
      </w:r>
    </w:p>
  </w:footnote>
  <w:footnote w:type="continuationSeparator" w:id="0">
    <w:p w14:paraId="2ECCC7B5" w14:textId="77777777" w:rsidR="00A14E75" w:rsidRDefault="00A14E75"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B60C31" w:rsidRDefault="00B60C3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98168B"/>
    <w:multiLevelType w:val="hybridMultilevel"/>
    <w:tmpl w:val="D6BC9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7"/>
  </w:num>
  <w:num w:numId="7">
    <w:abstractNumId w:val="4"/>
  </w:num>
  <w:num w:numId="8">
    <w:abstractNumId w:val="6"/>
  </w:num>
  <w:num w:numId="9">
    <w:abstractNumId w:val="8"/>
  </w:num>
  <w:num w:numId="10">
    <w:abstractNumId w:val="10"/>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9086D"/>
    <w:rsid w:val="00091113"/>
    <w:rsid w:val="00091737"/>
    <w:rsid w:val="00092537"/>
    <w:rsid w:val="0009301D"/>
    <w:rsid w:val="000932A4"/>
    <w:rsid w:val="00093B0C"/>
    <w:rsid w:val="00093ED7"/>
    <w:rsid w:val="000940F3"/>
    <w:rsid w:val="00094125"/>
    <w:rsid w:val="00096C2E"/>
    <w:rsid w:val="00096C85"/>
    <w:rsid w:val="000A03FA"/>
    <w:rsid w:val="000A1A57"/>
    <w:rsid w:val="000A2C9E"/>
    <w:rsid w:val="000A3605"/>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C7A"/>
    <w:rsid w:val="001356AF"/>
    <w:rsid w:val="00140384"/>
    <w:rsid w:val="001413EC"/>
    <w:rsid w:val="00141415"/>
    <w:rsid w:val="0014360F"/>
    <w:rsid w:val="00144812"/>
    <w:rsid w:val="00145229"/>
    <w:rsid w:val="00145762"/>
    <w:rsid w:val="00145A90"/>
    <w:rsid w:val="00147A86"/>
    <w:rsid w:val="001500C2"/>
    <w:rsid w:val="00151A7D"/>
    <w:rsid w:val="00151C2D"/>
    <w:rsid w:val="001526D2"/>
    <w:rsid w:val="00153501"/>
    <w:rsid w:val="001551B0"/>
    <w:rsid w:val="0015579E"/>
    <w:rsid w:val="001564DB"/>
    <w:rsid w:val="00161877"/>
    <w:rsid w:val="00161F60"/>
    <w:rsid w:val="00162488"/>
    <w:rsid w:val="00163C0D"/>
    <w:rsid w:val="00163F2D"/>
    <w:rsid w:val="00164BC6"/>
    <w:rsid w:val="00166997"/>
    <w:rsid w:val="00166B9D"/>
    <w:rsid w:val="00171037"/>
    <w:rsid w:val="0017140A"/>
    <w:rsid w:val="00174A2E"/>
    <w:rsid w:val="00174DA3"/>
    <w:rsid w:val="00175FFE"/>
    <w:rsid w:val="001765D1"/>
    <w:rsid w:val="00177510"/>
    <w:rsid w:val="00177BD5"/>
    <w:rsid w:val="001804B2"/>
    <w:rsid w:val="0018067B"/>
    <w:rsid w:val="00180D65"/>
    <w:rsid w:val="00184C24"/>
    <w:rsid w:val="001857CA"/>
    <w:rsid w:val="00185CA7"/>
    <w:rsid w:val="00186416"/>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4DD9"/>
    <w:rsid w:val="001D61D7"/>
    <w:rsid w:val="001D6C67"/>
    <w:rsid w:val="001D7355"/>
    <w:rsid w:val="001E0D44"/>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42D7"/>
    <w:rsid w:val="00245176"/>
    <w:rsid w:val="002459EE"/>
    <w:rsid w:val="00246485"/>
    <w:rsid w:val="00247002"/>
    <w:rsid w:val="00252348"/>
    <w:rsid w:val="00252D7D"/>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1A2"/>
    <w:rsid w:val="002B0544"/>
    <w:rsid w:val="002B1964"/>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4595"/>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773DC"/>
    <w:rsid w:val="00377E12"/>
    <w:rsid w:val="00380237"/>
    <w:rsid w:val="003805E1"/>
    <w:rsid w:val="00380CEA"/>
    <w:rsid w:val="003846BE"/>
    <w:rsid w:val="003872FB"/>
    <w:rsid w:val="00387ADB"/>
    <w:rsid w:val="00387B6D"/>
    <w:rsid w:val="00391158"/>
    <w:rsid w:val="00391F4D"/>
    <w:rsid w:val="00393CF1"/>
    <w:rsid w:val="00395798"/>
    <w:rsid w:val="00396153"/>
    <w:rsid w:val="003963B6"/>
    <w:rsid w:val="003966B6"/>
    <w:rsid w:val="00397E97"/>
    <w:rsid w:val="003A0581"/>
    <w:rsid w:val="003A0C94"/>
    <w:rsid w:val="003A1C41"/>
    <w:rsid w:val="003A34C1"/>
    <w:rsid w:val="003A3A14"/>
    <w:rsid w:val="003A49FE"/>
    <w:rsid w:val="003A4F15"/>
    <w:rsid w:val="003A5554"/>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C70C6"/>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36BB"/>
    <w:rsid w:val="003F4BB5"/>
    <w:rsid w:val="003F5066"/>
    <w:rsid w:val="003F513D"/>
    <w:rsid w:val="003F5540"/>
    <w:rsid w:val="003F70A9"/>
    <w:rsid w:val="003F7163"/>
    <w:rsid w:val="00400853"/>
    <w:rsid w:val="004020D7"/>
    <w:rsid w:val="00402AD3"/>
    <w:rsid w:val="00405727"/>
    <w:rsid w:val="00405C00"/>
    <w:rsid w:val="00405EE8"/>
    <w:rsid w:val="004113AD"/>
    <w:rsid w:val="004126D3"/>
    <w:rsid w:val="00412B3A"/>
    <w:rsid w:val="004134C4"/>
    <w:rsid w:val="0041505D"/>
    <w:rsid w:val="00416D89"/>
    <w:rsid w:val="0041728D"/>
    <w:rsid w:val="004172C7"/>
    <w:rsid w:val="0041736F"/>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3D69"/>
    <w:rsid w:val="00474645"/>
    <w:rsid w:val="00475056"/>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97B"/>
    <w:rsid w:val="004A4A72"/>
    <w:rsid w:val="004A4B41"/>
    <w:rsid w:val="004A4C75"/>
    <w:rsid w:val="004A5B75"/>
    <w:rsid w:val="004A6BC0"/>
    <w:rsid w:val="004A7878"/>
    <w:rsid w:val="004B0B34"/>
    <w:rsid w:val="004B1C65"/>
    <w:rsid w:val="004B1EE1"/>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5FA4"/>
    <w:rsid w:val="005069FD"/>
    <w:rsid w:val="00507357"/>
    <w:rsid w:val="00507726"/>
    <w:rsid w:val="00507AB0"/>
    <w:rsid w:val="005112E9"/>
    <w:rsid w:val="00511408"/>
    <w:rsid w:val="005123A5"/>
    <w:rsid w:val="00512B83"/>
    <w:rsid w:val="00512C00"/>
    <w:rsid w:val="00514861"/>
    <w:rsid w:val="00516997"/>
    <w:rsid w:val="0051785B"/>
    <w:rsid w:val="00521856"/>
    <w:rsid w:val="00521A58"/>
    <w:rsid w:val="00523D10"/>
    <w:rsid w:val="005243FF"/>
    <w:rsid w:val="00524AE6"/>
    <w:rsid w:val="00526B3C"/>
    <w:rsid w:val="005302D4"/>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4928"/>
    <w:rsid w:val="00565289"/>
    <w:rsid w:val="00565405"/>
    <w:rsid w:val="00567414"/>
    <w:rsid w:val="005703FF"/>
    <w:rsid w:val="005718F2"/>
    <w:rsid w:val="005730F7"/>
    <w:rsid w:val="00575D4E"/>
    <w:rsid w:val="0057642D"/>
    <w:rsid w:val="005774AB"/>
    <w:rsid w:val="00577536"/>
    <w:rsid w:val="00580B7F"/>
    <w:rsid w:val="0058226E"/>
    <w:rsid w:val="00584F04"/>
    <w:rsid w:val="00590802"/>
    <w:rsid w:val="0059114F"/>
    <w:rsid w:val="0059206A"/>
    <w:rsid w:val="00592FAD"/>
    <w:rsid w:val="00592FFC"/>
    <w:rsid w:val="00593E3B"/>
    <w:rsid w:val="0059489F"/>
    <w:rsid w:val="005953D2"/>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526B"/>
    <w:rsid w:val="005C5F5E"/>
    <w:rsid w:val="005C6BFC"/>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9F2"/>
    <w:rsid w:val="0063732E"/>
    <w:rsid w:val="006425DF"/>
    <w:rsid w:val="00642DE0"/>
    <w:rsid w:val="00642F02"/>
    <w:rsid w:val="0064373F"/>
    <w:rsid w:val="0064425D"/>
    <w:rsid w:val="0064439E"/>
    <w:rsid w:val="00644930"/>
    <w:rsid w:val="00646A84"/>
    <w:rsid w:val="006472DD"/>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D7FC9"/>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54"/>
    <w:rsid w:val="00703089"/>
    <w:rsid w:val="00703C03"/>
    <w:rsid w:val="007055B0"/>
    <w:rsid w:val="007058CE"/>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2485"/>
    <w:rsid w:val="00752A8B"/>
    <w:rsid w:val="00752B37"/>
    <w:rsid w:val="00754137"/>
    <w:rsid w:val="007548B7"/>
    <w:rsid w:val="00755380"/>
    <w:rsid w:val="00755488"/>
    <w:rsid w:val="00755883"/>
    <w:rsid w:val="00755ABF"/>
    <w:rsid w:val="00755E3F"/>
    <w:rsid w:val="00756A9A"/>
    <w:rsid w:val="00756CE7"/>
    <w:rsid w:val="00757CEB"/>
    <w:rsid w:val="00761AB0"/>
    <w:rsid w:val="00762D20"/>
    <w:rsid w:val="00763829"/>
    <w:rsid w:val="00764397"/>
    <w:rsid w:val="007646A0"/>
    <w:rsid w:val="00764CC9"/>
    <w:rsid w:val="00764CEC"/>
    <w:rsid w:val="00764D8A"/>
    <w:rsid w:val="007650CB"/>
    <w:rsid w:val="00765832"/>
    <w:rsid w:val="00766C83"/>
    <w:rsid w:val="00767098"/>
    <w:rsid w:val="00767F6B"/>
    <w:rsid w:val="00770555"/>
    <w:rsid w:val="007705B3"/>
    <w:rsid w:val="007717B2"/>
    <w:rsid w:val="0077203D"/>
    <w:rsid w:val="00773083"/>
    <w:rsid w:val="007732BF"/>
    <w:rsid w:val="00773A81"/>
    <w:rsid w:val="0077447A"/>
    <w:rsid w:val="00774B8D"/>
    <w:rsid w:val="00776A37"/>
    <w:rsid w:val="00777D1C"/>
    <w:rsid w:val="007803B5"/>
    <w:rsid w:val="00780B42"/>
    <w:rsid w:val="00781511"/>
    <w:rsid w:val="0078472D"/>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C716D"/>
    <w:rsid w:val="007D0152"/>
    <w:rsid w:val="007D2B3D"/>
    <w:rsid w:val="007D503B"/>
    <w:rsid w:val="007D5B51"/>
    <w:rsid w:val="007D72B3"/>
    <w:rsid w:val="007E0F0C"/>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C0D"/>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44BB"/>
    <w:rsid w:val="008B683F"/>
    <w:rsid w:val="008B6E33"/>
    <w:rsid w:val="008B763E"/>
    <w:rsid w:val="008C184C"/>
    <w:rsid w:val="008C1AB9"/>
    <w:rsid w:val="008C1FB8"/>
    <w:rsid w:val="008C242D"/>
    <w:rsid w:val="008C2B5C"/>
    <w:rsid w:val="008C31C4"/>
    <w:rsid w:val="008C32B5"/>
    <w:rsid w:val="008C32C1"/>
    <w:rsid w:val="008C3ED0"/>
    <w:rsid w:val="008C4822"/>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5BB"/>
    <w:rsid w:val="00920F9E"/>
    <w:rsid w:val="00921A24"/>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631F"/>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4E75"/>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4534"/>
    <w:rsid w:val="00A65354"/>
    <w:rsid w:val="00A6549C"/>
    <w:rsid w:val="00A70FFE"/>
    <w:rsid w:val="00A71011"/>
    <w:rsid w:val="00A71446"/>
    <w:rsid w:val="00A739A3"/>
    <w:rsid w:val="00A73A20"/>
    <w:rsid w:val="00A756F2"/>
    <w:rsid w:val="00A76DBE"/>
    <w:rsid w:val="00A77441"/>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4EBA"/>
    <w:rsid w:val="00AC6BD7"/>
    <w:rsid w:val="00AC6CFD"/>
    <w:rsid w:val="00AD0B19"/>
    <w:rsid w:val="00AD0BE0"/>
    <w:rsid w:val="00AD2AE2"/>
    <w:rsid w:val="00AD41C1"/>
    <w:rsid w:val="00AD5DB6"/>
    <w:rsid w:val="00AD5DF7"/>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F4"/>
    <w:rsid w:val="00B06C30"/>
    <w:rsid w:val="00B10C78"/>
    <w:rsid w:val="00B10E0E"/>
    <w:rsid w:val="00B10FAA"/>
    <w:rsid w:val="00B11083"/>
    <w:rsid w:val="00B118C4"/>
    <w:rsid w:val="00B11CAC"/>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48DB"/>
    <w:rsid w:val="00B35951"/>
    <w:rsid w:val="00B37118"/>
    <w:rsid w:val="00B37180"/>
    <w:rsid w:val="00B40242"/>
    <w:rsid w:val="00B406F0"/>
    <w:rsid w:val="00B428CD"/>
    <w:rsid w:val="00B42AEB"/>
    <w:rsid w:val="00B42B89"/>
    <w:rsid w:val="00B430AA"/>
    <w:rsid w:val="00B43B97"/>
    <w:rsid w:val="00B444C6"/>
    <w:rsid w:val="00B4670A"/>
    <w:rsid w:val="00B46CCF"/>
    <w:rsid w:val="00B50440"/>
    <w:rsid w:val="00B50481"/>
    <w:rsid w:val="00B509CF"/>
    <w:rsid w:val="00B52161"/>
    <w:rsid w:val="00B53091"/>
    <w:rsid w:val="00B55321"/>
    <w:rsid w:val="00B560FF"/>
    <w:rsid w:val="00B56C1F"/>
    <w:rsid w:val="00B60642"/>
    <w:rsid w:val="00B60955"/>
    <w:rsid w:val="00B60B04"/>
    <w:rsid w:val="00B60C31"/>
    <w:rsid w:val="00B61423"/>
    <w:rsid w:val="00B62DE7"/>
    <w:rsid w:val="00B62F3A"/>
    <w:rsid w:val="00B62F57"/>
    <w:rsid w:val="00B6449F"/>
    <w:rsid w:val="00B67069"/>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3F13"/>
    <w:rsid w:val="00BA44BC"/>
    <w:rsid w:val="00BA59DB"/>
    <w:rsid w:val="00BA766D"/>
    <w:rsid w:val="00BA7958"/>
    <w:rsid w:val="00BA7E52"/>
    <w:rsid w:val="00BB01EE"/>
    <w:rsid w:val="00BB0BA6"/>
    <w:rsid w:val="00BB3EBE"/>
    <w:rsid w:val="00BB44DC"/>
    <w:rsid w:val="00BB4633"/>
    <w:rsid w:val="00BB6A28"/>
    <w:rsid w:val="00BB703C"/>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A9"/>
    <w:rsid w:val="00C244D3"/>
    <w:rsid w:val="00C245CF"/>
    <w:rsid w:val="00C24675"/>
    <w:rsid w:val="00C249E0"/>
    <w:rsid w:val="00C2503C"/>
    <w:rsid w:val="00C26082"/>
    <w:rsid w:val="00C3081E"/>
    <w:rsid w:val="00C31CC4"/>
    <w:rsid w:val="00C31F6D"/>
    <w:rsid w:val="00C3375C"/>
    <w:rsid w:val="00C34C4D"/>
    <w:rsid w:val="00C35838"/>
    <w:rsid w:val="00C35DC1"/>
    <w:rsid w:val="00C3726E"/>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947"/>
    <w:rsid w:val="00CD5A42"/>
    <w:rsid w:val="00CD6304"/>
    <w:rsid w:val="00CD7345"/>
    <w:rsid w:val="00CD7D32"/>
    <w:rsid w:val="00CE1010"/>
    <w:rsid w:val="00CE1153"/>
    <w:rsid w:val="00CE2339"/>
    <w:rsid w:val="00CE31E6"/>
    <w:rsid w:val="00CE34FC"/>
    <w:rsid w:val="00CE370D"/>
    <w:rsid w:val="00CE4C11"/>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4488"/>
    <w:rsid w:val="00D165EA"/>
    <w:rsid w:val="00D16D8E"/>
    <w:rsid w:val="00D20BFA"/>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5596"/>
    <w:rsid w:val="00D55D1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2B04"/>
    <w:rsid w:val="00D730FC"/>
    <w:rsid w:val="00D752F8"/>
    <w:rsid w:val="00D75300"/>
    <w:rsid w:val="00D75EBF"/>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A7E"/>
    <w:rsid w:val="00DA4CD2"/>
    <w:rsid w:val="00DA531B"/>
    <w:rsid w:val="00DA5530"/>
    <w:rsid w:val="00DA570A"/>
    <w:rsid w:val="00DA6216"/>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2E6F"/>
    <w:rsid w:val="00ED41CE"/>
    <w:rsid w:val="00ED4814"/>
    <w:rsid w:val="00ED5688"/>
    <w:rsid w:val="00ED60C7"/>
    <w:rsid w:val="00ED68B4"/>
    <w:rsid w:val="00EE0422"/>
    <w:rsid w:val="00EE2883"/>
    <w:rsid w:val="00EE4522"/>
    <w:rsid w:val="00EE47B7"/>
    <w:rsid w:val="00EE4A0F"/>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F21"/>
    <w:rsid w:val="00F25DCE"/>
    <w:rsid w:val="00F2659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9"/>
    <w:rsid w:val="00F97441"/>
    <w:rsid w:val="00F97732"/>
    <w:rsid w:val="00FA053E"/>
    <w:rsid w:val="00FA138B"/>
    <w:rsid w:val="00FA18D0"/>
    <w:rsid w:val="00FA1E99"/>
    <w:rsid w:val="00FA5D77"/>
    <w:rsid w:val="00FA6206"/>
    <w:rsid w:val="00FA68BD"/>
    <w:rsid w:val="00FB0250"/>
    <w:rsid w:val="00FB0BE9"/>
    <w:rsid w:val="00FB1790"/>
    <w:rsid w:val="00FB2A9F"/>
    <w:rsid w:val="00FB454A"/>
    <w:rsid w:val="00FB6DA5"/>
    <w:rsid w:val="00FC08F4"/>
    <w:rsid w:val="00FC097B"/>
    <w:rsid w:val="00FC0AC0"/>
    <w:rsid w:val="00FC2772"/>
    <w:rsid w:val="00FC3F3A"/>
    <w:rsid w:val="00FC3F82"/>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6F05F-487D-A74B-86BD-E3B701DE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6</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93</cp:revision>
  <dcterms:created xsi:type="dcterms:W3CDTF">2019-04-19T11:17:00Z</dcterms:created>
  <dcterms:modified xsi:type="dcterms:W3CDTF">2020-07-02T00:45:00Z</dcterms:modified>
</cp:coreProperties>
</file>