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3905" w14:textId="77777777" w:rsidR="001A489F" w:rsidRPr="00950388" w:rsidRDefault="001A489F" w:rsidP="0085476C">
      <w:pPr>
        <w:spacing w:line="276" w:lineRule="auto"/>
        <w:outlineLvl w:val="0"/>
        <w:rPr>
          <w:sz w:val="22"/>
          <w:szCs w:val="22"/>
        </w:rPr>
      </w:pPr>
    </w:p>
    <w:p w14:paraId="1B2CFEAF" w14:textId="7060E461" w:rsidR="00AD6B76" w:rsidRDefault="00AD6B76" w:rsidP="0085476C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50388">
        <w:rPr>
          <w:b/>
          <w:sz w:val="22"/>
          <w:szCs w:val="22"/>
        </w:rPr>
        <w:t xml:space="preserve">HOW TO </w:t>
      </w:r>
      <w:r w:rsidR="005B1627">
        <w:rPr>
          <w:b/>
          <w:sz w:val="22"/>
          <w:szCs w:val="22"/>
        </w:rPr>
        <w:t>CONDUCT EMAIL INTERVIEWS</w:t>
      </w:r>
    </w:p>
    <w:p w14:paraId="50265739" w14:textId="69ECF474" w:rsidR="00046A09" w:rsidRDefault="00046A09" w:rsidP="0085476C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781F18F4" w14:textId="77777777" w:rsidR="00046A09" w:rsidRDefault="00046A09" w:rsidP="00046A09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by Simon Moss</w:t>
      </w:r>
    </w:p>
    <w:p w14:paraId="426B02AC" w14:textId="3A1CA628" w:rsidR="00046A09" w:rsidRPr="00950388" w:rsidRDefault="00046A09" w:rsidP="0085476C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26DC2F19" w14:textId="77777777" w:rsidR="00AD6B76" w:rsidRPr="00950388" w:rsidRDefault="00AD6B76" w:rsidP="00046A09">
      <w:pPr>
        <w:spacing w:line="276" w:lineRule="auto"/>
        <w:outlineLvl w:val="0"/>
        <w:rPr>
          <w:b/>
          <w:sz w:val="22"/>
          <w:szCs w:val="22"/>
        </w:rPr>
      </w:pPr>
    </w:p>
    <w:p w14:paraId="7BB38125" w14:textId="77777777" w:rsidR="00AD6B76" w:rsidRPr="00950388" w:rsidRDefault="00AD6B76" w:rsidP="0085476C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D6B76" w:rsidRPr="00950388" w14:paraId="17B6F63C" w14:textId="77777777" w:rsidTr="008078E6">
        <w:tc>
          <w:tcPr>
            <w:tcW w:w="9010" w:type="dxa"/>
            <w:shd w:val="clear" w:color="auto" w:fill="BDD6EE" w:themeFill="accent5" w:themeFillTint="66"/>
          </w:tcPr>
          <w:p w14:paraId="306E6F77" w14:textId="4A1AD5EA" w:rsidR="00AD6B76" w:rsidRPr="00950388" w:rsidRDefault="00AD6B76" w:rsidP="0085476C">
            <w:pPr>
              <w:spacing w:line="276" w:lineRule="auto"/>
              <w:jc w:val="center"/>
              <w:outlineLvl w:val="0"/>
              <w:rPr>
                <w:b/>
              </w:rPr>
            </w:pPr>
            <w:r w:rsidRPr="00950388">
              <w:rPr>
                <w:b/>
              </w:rPr>
              <w:t>Introduction</w:t>
            </w:r>
          </w:p>
        </w:tc>
      </w:tr>
    </w:tbl>
    <w:p w14:paraId="27DEE031" w14:textId="77777777" w:rsidR="00AD6B76" w:rsidRPr="00950388" w:rsidRDefault="00AD6B76" w:rsidP="0085476C">
      <w:pPr>
        <w:spacing w:line="276" w:lineRule="auto"/>
        <w:outlineLvl w:val="0"/>
        <w:rPr>
          <w:sz w:val="22"/>
          <w:szCs w:val="22"/>
        </w:rPr>
      </w:pPr>
      <w:bookmarkStart w:id="0" w:name="_GoBack"/>
      <w:bookmarkEnd w:id="0"/>
    </w:p>
    <w:p w14:paraId="5ABB0C90" w14:textId="79245364" w:rsidR="00AD6B76" w:rsidRDefault="00AD6B76" w:rsidP="005F4E33">
      <w:pPr>
        <w:spacing w:line="276" w:lineRule="auto"/>
        <w:outlineLvl w:val="0"/>
        <w:rPr>
          <w:sz w:val="22"/>
          <w:szCs w:val="22"/>
        </w:rPr>
      </w:pPr>
      <w:r w:rsidRPr="00950388">
        <w:rPr>
          <w:sz w:val="22"/>
          <w:szCs w:val="22"/>
        </w:rPr>
        <w:tab/>
      </w:r>
      <w:r w:rsidR="005E61E6">
        <w:rPr>
          <w:sz w:val="22"/>
          <w:szCs w:val="22"/>
        </w:rPr>
        <w:t xml:space="preserve">Usually, researchers conduct interviews in person, over telephone, or over video-conference, such as Skype.  Occasionally, however, researchers conduct interviews over email. </w:t>
      </w:r>
      <w:r w:rsidR="00B8498C">
        <w:rPr>
          <w:sz w:val="22"/>
          <w:szCs w:val="22"/>
        </w:rPr>
        <w:t xml:space="preserve">Specifically, they might send each participant a series of 2 to 10 emails.  During the first few emails, they might establish rapport and clarify the procedures.  During the next few emails, they might ask questions or clarify answers before thanking participants.  </w:t>
      </w:r>
      <w:r w:rsidR="00297B8E">
        <w:rPr>
          <w:sz w:val="22"/>
          <w:szCs w:val="22"/>
        </w:rPr>
        <w:t>This document presents the benefits and drawbacks of email interviews—together with some</w:t>
      </w:r>
      <w:r w:rsidR="00B8498C">
        <w:rPr>
          <w:sz w:val="22"/>
          <w:szCs w:val="22"/>
        </w:rPr>
        <w:t xml:space="preserve"> practices</w:t>
      </w:r>
      <w:r w:rsidR="00297B8E">
        <w:rPr>
          <w:sz w:val="22"/>
          <w:szCs w:val="22"/>
        </w:rPr>
        <w:t xml:space="preserve"> you could apply to conduct email interviews most effectively.</w:t>
      </w:r>
      <w:r w:rsidR="005F4E33">
        <w:rPr>
          <w:sz w:val="22"/>
          <w:szCs w:val="22"/>
        </w:rPr>
        <w:t xml:space="preserve"> </w:t>
      </w:r>
    </w:p>
    <w:p w14:paraId="6A87A4F7" w14:textId="77777777" w:rsidR="00BD7529" w:rsidRPr="00950388" w:rsidRDefault="00BD7529" w:rsidP="0085476C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7529" w:rsidRPr="00950388" w14:paraId="0995E936" w14:textId="77777777" w:rsidTr="008078E6">
        <w:tc>
          <w:tcPr>
            <w:tcW w:w="9010" w:type="dxa"/>
            <w:shd w:val="clear" w:color="auto" w:fill="BDD6EE" w:themeFill="accent5" w:themeFillTint="66"/>
          </w:tcPr>
          <w:p w14:paraId="70D07E9B" w14:textId="0AFF03B0" w:rsidR="00BD7529" w:rsidRPr="00950388" w:rsidRDefault="00297B8E" w:rsidP="0085476C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Benefits and drawbacks of email interviews</w:t>
            </w:r>
          </w:p>
        </w:tc>
      </w:tr>
    </w:tbl>
    <w:p w14:paraId="57207B7B" w14:textId="77777777" w:rsidR="00BD7529" w:rsidRPr="00950388" w:rsidRDefault="00BD7529" w:rsidP="0085476C">
      <w:pPr>
        <w:spacing w:line="276" w:lineRule="auto"/>
        <w:outlineLvl w:val="0"/>
        <w:rPr>
          <w:sz w:val="22"/>
          <w:szCs w:val="22"/>
        </w:rPr>
      </w:pPr>
    </w:p>
    <w:p w14:paraId="4815CF3B" w14:textId="0F705117" w:rsidR="00DC419C" w:rsidRDefault="00756A9A" w:rsidP="0085476C">
      <w:pPr>
        <w:spacing w:line="276" w:lineRule="auto"/>
        <w:outlineLvl w:val="0"/>
        <w:rPr>
          <w:sz w:val="22"/>
          <w:szCs w:val="22"/>
        </w:rPr>
      </w:pPr>
      <w:r w:rsidRPr="00950388">
        <w:rPr>
          <w:sz w:val="22"/>
          <w:szCs w:val="22"/>
        </w:rPr>
        <w:tab/>
      </w:r>
      <w:r w:rsidR="00297B8E">
        <w:rPr>
          <w:sz w:val="22"/>
          <w:szCs w:val="22"/>
        </w:rPr>
        <w:t>The following t</w:t>
      </w:r>
      <w:r w:rsidR="00B33415">
        <w:rPr>
          <w:sz w:val="22"/>
          <w:szCs w:val="22"/>
        </w:rPr>
        <w:t xml:space="preserve">able </w:t>
      </w:r>
      <w:r w:rsidR="00D044C4">
        <w:rPr>
          <w:sz w:val="22"/>
          <w:szCs w:val="22"/>
        </w:rPr>
        <w:t xml:space="preserve">summarizes the benefits of drawbacks of email interviews. </w:t>
      </w:r>
      <w:r w:rsidR="00DC419C">
        <w:rPr>
          <w:sz w:val="22"/>
          <w:szCs w:val="22"/>
        </w:rPr>
        <w:t xml:space="preserve"> In general, as these considerations imply, whenever researchers are more interested in </w:t>
      </w:r>
      <w:r w:rsidR="005F0035">
        <w:rPr>
          <w:sz w:val="22"/>
          <w:szCs w:val="22"/>
        </w:rPr>
        <w:t>tangible</w:t>
      </w:r>
      <w:r w:rsidR="00DC419C">
        <w:rPr>
          <w:sz w:val="22"/>
          <w:szCs w:val="22"/>
        </w:rPr>
        <w:t xml:space="preserve"> information</w:t>
      </w:r>
      <w:r w:rsidR="005F0035">
        <w:rPr>
          <w:sz w:val="22"/>
          <w:szCs w:val="22"/>
        </w:rPr>
        <w:t xml:space="preserve"> </w:t>
      </w:r>
      <w:r w:rsidR="00DC419C">
        <w:rPr>
          <w:sz w:val="22"/>
          <w:szCs w:val="22"/>
        </w:rPr>
        <w:t xml:space="preserve">than </w:t>
      </w:r>
      <w:r w:rsidR="005F0035">
        <w:rPr>
          <w:sz w:val="22"/>
          <w:szCs w:val="22"/>
        </w:rPr>
        <w:t>subtle insights,</w:t>
      </w:r>
      <w:r w:rsidR="007E6895">
        <w:rPr>
          <w:sz w:val="22"/>
          <w:szCs w:val="22"/>
        </w:rPr>
        <w:t xml:space="preserve"> email interviews are especially suitable.  Likewise, email interviews might complement other interview formats. </w:t>
      </w:r>
      <w:r w:rsidR="00DC419C">
        <w:rPr>
          <w:sz w:val="22"/>
          <w:szCs w:val="22"/>
        </w:rPr>
        <w:t xml:space="preserve"> </w:t>
      </w:r>
    </w:p>
    <w:p w14:paraId="56796BA5" w14:textId="2DD0BD0D" w:rsidR="001E0850" w:rsidRPr="00950388" w:rsidRDefault="001E0850" w:rsidP="001E0850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890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06"/>
        <w:gridCol w:w="4395"/>
      </w:tblGrid>
      <w:tr w:rsidR="001E0850" w:rsidRPr="00950388" w14:paraId="12668F3D" w14:textId="77777777" w:rsidTr="00056944">
        <w:trPr>
          <w:trHeight w:val="596"/>
        </w:trPr>
        <w:tc>
          <w:tcPr>
            <w:tcW w:w="4506" w:type="dxa"/>
            <w:shd w:val="clear" w:color="auto" w:fill="BDD6EE" w:themeFill="accent5" w:themeFillTint="66"/>
          </w:tcPr>
          <w:p w14:paraId="0B23775B" w14:textId="2DFE4E14" w:rsidR="001E0850" w:rsidRPr="00335EC2" w:rsidRDefault="001E0850" w:rsidP="00056944">
            <w:pPr>
              <w:pStyle w:val="MHPBody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35EC2">
              <w:rPr>
                <w:rFonts w:asciiTheme="minorHAnsi" w:hAnsiTheme="minorHAnsi" w:cstheme="minorHAnsi"/>
                <w:szCs w:val="22"/>
              </w:rPr>
              <w:t xml:space="preserve"> Benefits of email interviews</w:t>
            </w:r>
          </w:p>
        </w:tc>
        <w:tc>
          <w:tcPr>
            <w:tcW w:w="4395" w:type="dxa"/>
            <w:shd w:val="clear" w:color="auto" w:fill="BDD6EE" w:themeFill="accent5" w:themeFillTint="66"/>
          </w:tcPr>
          <w:p w14:paraId="6AA68C70" w14:textId="4B49E3D7" w:rsidR="001E0850" w:rsidRPr="00335EC2" w:rsidRDefault="001E0850" w:rsidP="00056944">
            <w:pPr>
              <w:pStyle w:val="MHPBody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35EC2">
              <w:rPr>
                <w:rFonts w:asciiTheme="minorHAnsi" w:hAnsiTheme="minorHAnsi" w:cstheme="minorHAnsi"/>
                <w:szCs w:val="22"/>
              </w:rPr>
              <w:t>Drawbacks of email interviews</w:t>
            </w:r>
          </w:p>
        </w:tc>
      </w:tr>
      <w:tr w:rsidR="001E0850" w:rsidRPr="00950388" w14:paraId="41C60974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0391D5E1" w14:textId="3FBB94C6" w:rsidR="001E0850" w:rsidRPr="00335EC2" w:rsidRDefault="00335EC2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Accessibility.  </w:t>
            </w:r>
            <w:r>
              <w:rPr>
                <w:rFonts w:asciiTheme="minorHAnsi" w:hAnsiTheme="minorHAnsi" w:cstheme="minorHAnsi"/>
              </w:rPr>
              <w:t>You can interview people who are too hard to contact at the same time—such as people in remote communities with unreliable internet access</w:t>
            </w:r>
            <w:r w:rsidR="0091619C">
              <w:rPr>
                <w:rFonts w:asciiTheme="minorHAnsi" w:hAnsiTheme="minorHAnsi" w:cstheme="minorHAnsi"/>
              </w:rPr>
              <w:t xml:space="preserve"> or people who often experience illness</w:t>
            </w:r>
            <w:r w:rsidR="00156F8C">
              <w:rPr>
                <w:rFonts w:asciiTheme="minorHAnsi" w:hAnsiTheme="minorHAnsi" w:cstheme="minorHAnsi"/>
              </w:rPr>
              <w:t xml:space="preserve"> or communication </w:t>
            </w:r>
            <w:r w:rsidR="005F0035">
              <w:rPr>
                <w:rFonts w:asciiTheme="minorHAnsi" w:hAnsiTheme="minorHAnsi" w:cstheme="minorHAnsi"/>
              </w:rPr>
              <w:t>problems</w:t>
            </w:r>
            <w:r w:rsidR="0091619C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C6CD7E" w14:textId="233AC988" w:rsidR="001E0850" w:rsidRPr="00B46545" w:rsidRDefault="00B46545" w:rsidP="001E0850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Restricted to email users</w:t>
            </w:r>
            <w:r>
              <w:rPr>
                <w:rFonts w:cstheme="minorHAnsi"/>
              </w:rPr>
              <w:t>.  Some people are unable to utilize email; for example, they might not be able to access internet</w:t>
            </w:r>
          </w:p>
        </w:tc>
      </w:tr>
      <w:tr w:rsidR="001E0850" w:rsidRPr="00950388" w14:paraId="45D975E0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65658732" w14:textId="79AA0DEC" w:rsidR="001E0850" w:rsidRPr="00E0375A" w:rsidRDefault="00E0375A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Costs</w:t>
            </w:r>
            <w:r w:rsidR="00D1467F">
              <w:rPr>
                <w:rFonts w:asciiTheme="minorHAnsi" w:hAnsiTheme="minorHAnsi" w:cstheme="minorHAnsi"/>
                <w:b/>
              </w:rPr>
              <w:t xml:space="preserve"> and efficiency</w:t>
            </w:r>
            <w:r>
              <w:rPr>
                <w:rFonts w:asciiTheme="minorHAnsi" w:hAnsiTheme="minorHAnsi" w:cstheme="minorHAnsi"/>
                <w:b/>
              </w:rPr>
              <w:t xml:space="preserve">.  </w:t>
            </w:r>
            <w:r w:rsidR="00CA4F56" w:rsidRPr="00CA4F56">
              <w:rPr>
                <w:rFonts w:asciiTheme="minorHAnsi" w:hAnsiTheme="minorHAnsi" w:cstheme="minorHAnsi"/>
              </w:rPr>
              <w:t>Email interviews r</w:t>
            </w:r>
            <w:r w:rsidRPr="00CA4F56">
              <w:rPr>
                <w:rFonts w:asciiTheme="minorHAnsi" w:hAnsiTheme="minorHAnsi" w:cstheme="minorHAnsi"/>
              </w:rPr>
              <w:t>educes</w:t>
            </w:r>
            <w:r>
              <w:rPr>
                <w:rFonts w:asciiTheme="minorHAnsi" w:hAnsiTheme="minorHAnsi" w:cstheme="minorHAnsi"/>
              </w:rPr>
              <w:t xml:space="preserve"> the cost of transcription and travel</w:t>
            </w:r>
            <w:r w:rsidR="00D1467F">
              <w:rPr>
                <w:rFonts w:asciiTheme="minorHAnsi" w:hAnsiTheme="minorHAnsi" w:cstheme="minorHAnsi"/>
              </w:rPr>
              <w:t xml:space="preserve">.  The answers </w:t>
            </w:r>
            <w:r w:rsidR="00352C92">
              <w:rPr>
                <w:rFonts w:asciiTheme="minorHAnsi" w:hAnsiTheme="minorHAnsi" w:cstheme="minorHAnsi"/>
              </w:rPr>
              <w:t>also tend to be</w:t>
            </w:r>
            <w:r w:rsidR="00D1467F">
              <w:rPr>
                <w:rFonts w:asciiTheme="minorHAnsi" w:hAnsiTheme="minorHAnsi" w:cstheme="minorHAnsi"/>
              </w:rPr>
              <w:t xml:space="preserve"> more efficient </w:t>
            </w:r>
            <w:r w:rsidR="00CA4F56">
              <w:rPr>
                <w:rFonts w:asciiTheme="minorHAnsi" w:hAnsiTheme="minorHAnsi" w:cstheme="minorHAnsi"/>
              </w:rPr>
              <w:t xml:space="preserve">rather than verbose. </w:t>
            </w:r>
            <w:r w:rsidR="00D146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08420" w14:textId="6F2541BB" w:rsidR="001E0850" w:rsidRPr="00786540" w:rsidRDefault="00786540" w:rsidP="001E0850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Absence of social cues</w:t>
            </w:r>
            <w:r>
              <w:rPr>
                <w:rFonts w:cstheme="minorHAnsi"/>
              </w:rPr>
              <w:t xml:space="preserve">. Without facial expressions, gestures, intonation, and other nonverbal cues, </w:t>
            </w:r>
            <w:r w:rsidR="00781FAE">
              <w:rPr>
                <w:rFonts w:cstheme="minorHAnsi"/>
              </w:rPr>
              <w:t xml:space="preserve">the questions of researchers and the </w:t>
            </w:r>
            <w:r w:rsidR="00DF04FB">
              <w:rPr>
                <w:rFonts w:cstheme="minorHAnsi"/>
              </w:rPr>
              <w:t>answers</w:t>
            </w:r>
            <w:r>
              <w:rPr>
                <w:rFonts w:cstheme="minorHAnsi"/>
              </w:rPr>
              <w:t xml:space="preserve"> </w:t>
            </w:r>
            <w:r w:rsidR="00781FAE">
              <w:rPr>
                <w:rFonts w:cstheme="minorHAnsi"/>
              </w:rPr>
              <w:t xml:space="preserve">of respondents </w:t>
            </w:r>
            <w:r>
              <w:rPr>
                <w:rFonts w:cstheme="minorHAnsi"/>
              </w:rPr>
              <w:t xml:space="preserve">might be ambiguous.  </w:t>
            </w:r>
          </w:p>
        </w:tc>
      </w:tr>
      <w:tr w:rsidR="001E0850" w:rsidRPr="00950388" w14:paraId="2940DAE9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428BD956" w14:textId="57D2B505" w:rsidR="001E0850" w:rsidRPr="007A532B" w:rsidRDefault="007A532B" w:rsidP="001E0850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Personal comfort</w:t>
            </w:r>
            <w:r>
              <w:rPr>
                <w:rFonts w:cstheme="minorHAnsi"/>
              </w:rPr>
              <w:t>.  Some people might prefer to share private information over emails—</w:t>
            </w:r>
            <w:r>
              <w:rPr>
                <w:rFonts w:cstheme="minorHAnsi"/>
              </w:rPr>
              <w:lastRenderedPageBreak/>
              <w:t>because they feel more anonymous and can contemplate their answers carefull</w:t>
            </w:r>
            <w:r w:rsidR="007C5058">
              <w:rPr>
                <w:rFonts w:cstheme="minorHAnsi"/>
              </w:rPr>
              <w:t xml:space="preserve">y. 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A1D8340" w14:textId="18B44B52" w:rsidR="001E0850" w:rsidRPr="00B272A3" w:rsidRDefault="00B272A3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Delayed responses</w:t>
            </w:r>
            <w:r>
              <w:rPr>
                <w:rFonts w:asciiTheme="minorHAnsi" w:hAnsiTheme="minorHAnsi" w:cstheme="minorHAnsi"/>
              </w:rPr>
              <w:t xml:space="preserve">.  Because responses may be delayed, </w:t>
            </w:r>
            <w:r w:rsidR="00DF411C">
              <w:rPr>
                <w:rFonts w:asciiTheme="minorHAnsi" w:hAnsiTheme="minorHAnsi" w:cstheme="minorHAnsi"/>
              </w:rPr>
              <w:t>researchers</w:t>
            </w:r>
            <w:r>
              <w:rPr>
                <w:rFonts w:asciiTheme="minorHAnsi" w:hAnsiTheme="minorHAnsi" w:cstheme="minorHAnsi"/>
              </w:rPr>
              <w:t xml:space="preserve"> cannot ascertain how people felt at a specific time very accurately</w:t>
            </w:r>
          </w:p>
        </w:tc>
      </w:tr>
      <w:tr w:rsidR="001E0850" w:rsidRPr="00950388" w14:paraId="6CF871C7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381ADA03" w14:textId="5DDD926A" w:rsidR="001E0850" w:rsidRPr="00B81799" w:rsidRDefault="00B81799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Reflection</w:t>
            </w:r>
            <w:r>
              <w:rPr>
                <w:rFonts w:asciiTheme="minorHAnsi" w:hAnsiTheme="minorHAnsi" w:cstheme="minorHAnsi"/>
              </w:rPr>
              <w:t xml:space="preserve">.  </w:t>
            </w:r>
            <w:r w:rsidR="0084374E">
              <w:rPr>
                <w:rFonts w:asciiTheme="minorHAnsi" w:hAnsiTheme="minorHAnsi" w:cstheme="minorHAnsi"/>
              </w:rPr>
              <w:t xml:space="preserve">The respondents may contemplate their answers carefully; and researchers can ask subsequent questions after careful thought as well. 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92A75DC" w14:textId="12E2BA4A" w:rsidR="001E0850" w:rsidRPr="00A40957" w:rsidRDefault="00A40957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Uncontrolled environment</w:t>
            </w:r>
            <w:r>
              <w:rPr>
                <w:rFonts w:asciiTheme="minorHAnsi" w:hAnsiTheme="minorHAnsi" w:cstheme="minorHAnsi"/>
              </w:rPr>
              <w:t xml:space="preserve">.  People may respond to email questions in distracting environments.  </w:t>
            </w:r>
          </w:p>
        </w:tc>
      </w:tr>
      <w:tr w:rsidR="001E0850" w:rsidRPr="00950388" w14:paraId="161B2F1E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1231DF0D" w14:textId="5381BC78" w:rsidR="001E0850" w:rsidRPr="00335EC2" w:rsidRDefault="001E0850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 w:rsidRPr="00335EC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E469DA9" w14:textId="34F0D92A" w:rsidR="001E0850" w:rsidRPr="0034325C" w:rsidRDefault="0034325C" w:rsidP="001E0850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Limited rapport</w:t>
            </w:r>
            <w:r>
              <w:rPr>
                <w:rFonts w:asciiTheme="minorHAnsi" w:hAnsiTheme="minorHAnsi" w:cstheme="minorHAnsi"/>
              </w:rPr>
              <w:t xml:space="preserve">.  Over email, researchers cannot readily develop a rapport with their respondents. Without this rapport, respondents might not be as willing to answer </w:t>
            </w:r>
            <w:r w:rsidR="0001194E">
              <w:rPr>
                <w:rFonts w:asciiTheme="minorHAnsi" w:hAnsiTheme="minorHAnsi" w:cstheme="minorHAnsi"/>
              </w:rPr>
              <w:t xml:space="preserve">very personal questions. </w:t>
            </w:r>
          </w:p>
        </w:tc>
      </w:tr>
    </w:tbl>
    <w:p w14:paraId="2F2DCDB4" w14:textId="77777777" w:rsidR="001E0850" w:rsidRPr="00950388" w:rsidRDefault="001E0850" w:rsidP="001E0850">
      <w:pPr>
        <w:spacing w:line="276" w:lineRule="auto"/>
        <w:outlineLvl w:val="0"/>
        <w:rPr>
          <w:sz w:val="22"/>
          <w:szCs w:val="22"/>
        </w:rPr>
      </w:pPr>
    </w:p>
    <w:p w14:paraId="493D6117" w14:textId="77777777" w:rsidR="001E0850" w:rsidRDefault="001E0850" w:rsidP="0085476C">
      <w:pPr>
        <w:spacing w:line="276" w:lineRule="auto"/>
        <w:outlineLvl w:val="0"/>
        <w:rPr>
          <w:sz w:val="22"/>
          <w:szCs w:val="22"/>
        </w:rPr>
      </w:pPr>
    </w:p>
    <w:p w14:paraId="360EA4D5" w14:textId="77777777" w:rsidR="000E27C8" w:rsidRPr="00950388" w:rsidRDefault="000E27C8" w:rsidP="000E27C8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E27C8" w:rsidRPr="00950388" w14:paraId="38DB0124" w14:textId="77777777" w:rsidTr="00056944">
        <w:tc>
          <w:tcPr>
            <w:tcW w:w="9010" w:type="dxa"/>
            <w:shd w:val="clear" w:color="auto" w:fill="BDD6EE" w:themeFill="accent5" w:themeFillTint="66"/>
          </w:tcPr>
          <w:p w14:paraId="6AD64326" w14:textId="46BC5D80" w:rsidR="000E27C8" w:rsidRPr="00950388" w:rsidRDefault="000E27C8" w:rsidP="00056944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Strategies to apply</w:t>
            </w:r>
          </w:p>
        </w:tc>
      </w:tr>
    </w:tbl>
    <w:p w14:paraId="4C8DB789" w14:textId="73C6EB97" w:rsidR="00052C94" w:rsidRDefault="00052C94" w:rsidP="0085476C">
      <w:pPr>
        <w:spacing w:line="276" w:lineRule="auto"/>
        <w:outlineLvl w:val="0"/>
        <w:rPr>
          <w:sz w:val="22"/>
          <w:szCs w:val="22"/>
        </w:rPr>
      </w:pPr>
    </w:p>
    <w:p w14:paraId="3149047B" w14:textId="764C76AB" w:rsidR="00052C94" w:rsidRDefault="00052C94" w:rsidP="0085476C">
      <w:pPr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In general, the practices you need to apply to conduct email interviews are the same as the practices you need to apply to conduct other interviews.  For example, you need to</w:t>
      </w:r>
    </w:p>
    <w:p w14:paraId="6E717927" w14:textId="1241B0E7" w:rsidR="00052C94" w:rsidRDefault="00052C94" w:rsidP="0085476C">
      <w:pPr>
        <w:spacing w:line="276" w:lineRule="auto"/>
        <w:outlineLvl w:val="0"/>
        <w:rPr>
          <w:sz w:val="22"/>
          <w:szCs w:val="22"/>
        </w:rPr>
      </w:pPr>
    </w:p>
    <w:p w14:paraId="7D2C3866" w14:textId="67AFA3CB" w:rsidR="00052C94" w:rsidRDefault="00052C94" w:rsidP="00052C94">
      <w:pPr>
        <w:pStyle w:val="ListParagraph"/>
        <w:numPr>
          <w:ilvl w:val="0"/>
          <w:numId w:val="28"/>
        </w:numPr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construct the plain language statement</w:t>
      </w:r>
    </w:p>
    <w:p w14:paraId="6719BA97" w14:textId="1C4AFF22" w:rsidR="00052C94" w:rsidRDefault="00052C94" w:rsidP="00052C94">
      <w:pPr>
        <w:pStyle w:val="ListParagraph"/>
        <w:numPr>
          <w:ilvl w:val="0"/>
          <w:numId w:val="28"/>
        </w:numPr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draft the initial set of questions</w:t>
      </w:r>
    </w:p>
    <w:p w14:paraId="70A6AB0E" w14:textId="77777777" w:rsidR="006F65D2" w:rsidRDefault="000543D7" w:rsidP="000543D7">
      <w:pPr>
        <w:pStyle w:val="ListParagraph"/>
        <w:numPr>
          <w:ilvl w:val="0"/>
          <w:numId w:val="28"/>
        </w:numPr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decide how to recruit potential respondents</w:t>
      </w:r>
    </w:p>
    <w:p w14:paraId="40CA079D" w14:textId="77777777" w:rsidR="006F65D2" w:rsidRDefault="006F65D2" w:rsidP="006F65D2">
      <w:pPr>
        <w:pStyle w:val="ListParagraph"/>
        <w:spacing w:line="276" w:lineRule="auto"/>
        <w:ind w:left="360"/>
        <w:outlineLvl w:val="0"/>
        <w:rPr>
          <w:sz w:val="22"/>
          <w:szCs w:val="22"/>
        </w:rPr>
      </w:pPr>
    </w:p>
    <w:p w14:paraId="16ED4688" w14:textId="404DF5A5" w:rsidR="00404DCB" w:rsidRDefault="006F65D2" w:rsidP="006F65D2">
      <w:pPr>
        <w:spacing w:line="276" w:lineRule="auto"/>
        <w:ind w:firstLine="360"/>
        <w:outlineLvl w:val="0"/>
        <w:rPr>
          <w:sz w:val="22"/>
          <w:szCs w:val="22"/>
        </w:rPr>
      </w:pPr>
      <w:r>
        <w:rPr>
          <w:sz w:val="22"/>
          <w:szCs w:val="22"/>
        </w:rPr>
        <w:t>For example, y</w:t>
      </w:r>
      <w:r w:rsidRPr="006F65D2">
        <w:rPr>
          <w:sz w:val="22"/>
          <w:szCs w:val="22"/>
        </w:rPr>
        <w:t>ou might construct a website that outlines the research</w:t>
      </w:r>
      <w:r>
        <w:rPr>
          <w:sz w:val="22"/>
          <w:szCs w:val="22"/>
        </w:rPr>
        <w:t xml:space="preserve">.  Participants could thus visit this website to </w:t>
      </w:r>
      <w:r w:rsidRPr="006F65D2">
        <w:rPr>
          <w:sz w:val="22"/>
          <w:szCs w:val="22"/>
        </w:rPr>
        <w:t>understand your research better</w:t>
      </w:r>
      <w:r>
        <w:rPr>
          <w:sz w:val="22"/>
          <w:szCs w:val="22"/>
        </w:rPr>
        <w:t>.  You could then email relevant individuals or utilize social media and snowballing to recruit other respondents.  However, t</w:t>
      </w:r>
      <w:r w:rsidR="000E27C8">
        <w:rPr>
          <w:sz w:val="22"/>
          <w:szCs w:val="22"/>
        </w:rPr>
        <w:t>he following table</w:t>
      </w:r>
      <w:r w:rsidR="0008342C">
        <w:rPr>
          <w:sz w:val="22"/>
          <w:szCs w:val="22"/>
        </w:rPr>
        <w:t xml:space="preserve"> </w:t>
      </w:r>
      <w:r w:rsidR="00404DCB">
        <w:rPr>
          <w:sz w:val="22"/>
          <w:szCs w:val="22"/>
        </w:rPr>
        <w:t xml:space="preserve">offers some insights on </w:t>
      </w:r>
      <w:r w:rsidR="000543D7">
        <w:rPr>
          <w:sz w:val="22"/>
          <w:szCs w:val="22"/>
        </w:rPr>
        <w:t>practices that are more specific to</w:t>
      </w:r>
      <w:r w:rsidR="00404DCB">
        <w:rPr>
          <w:sz w:val="22"/>
          <w:szCs w:val="22"/>
        </w:rPr>
        <w:t xml:space="preserve"> email interview</w:t>
      </w:r>
      <w:r w:rsidR="000543D7">
        <w:rPr>
          <w:sz w:val="22"/>
          <w:szCs w:val="22"/>
        </w:rPr>
        <w:t>s</w:t>
      </w:r>
      <w:r w:rsidR="00404DCB">
        <w:rPr>
          <w:sz w:val="22"/>
          <w:szCs w:val="22"/>
        </w:rPr>
        <w:t xml:space="preserve">. The first column outlines these recommendations.  The second column justifies or clarifies these recommendations. </w:t>
      </w:r>
    </w:p>
    <w:p w14:paraId="47EDF536" w14:textId="6FE98011" w:rsidR="00404DCB" w:rsidRDefault="00404DCB" w:rsidP="0085476C">
      <w:pPr>
        <w:spacing w:line="276" w:lineRule="auto"/>
        <w:outlineLvl w:val="0"/>
        <w:rPr>
          <w:sz w:val="22"/>
          <w:szCs w:val="22"/>
        </w:rPr>
      </w:pPr>
    </w:p>
    <w:p w14:paraId="006FF637" w14:textId="77777777" w:rsidR="00404DCB" w:rsidRPr="00950388" w:rsidRDefault="00404DCB" w:rsidP="00404DCB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890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06"/>
        <w:gridCol w:w="4395"/>
      </w:tblGrid>
      <w:tr w:rsidR="00404DCB" w:rsidRPr="00950388" w14:paraId="7CA442A8" w14:textId="77777777" w:rsidTr="00056944">
        <w:trPr>
          <w:trHeight w:val="596"/>
        </w:trPr>
        <w:tc>
          <w:tcPr>
            <w:tcW w:w="4506" w:type="dxa"/>
            <w:shd w:val="clear" w:color="auto" w:fill="BDD6EE" w:themeFill="accent5" w:themeFillTint="66"/>
          </w:tcPr>
          <w:p w14:paraId="62453D52" w14:textId="68D6192B" w:rsidR="00404DCB" w:rsidRPr="00335EC2" w:rsidRDefault="00404DCB" w:rsidP="00056944">
            <w:pPr>
              <w:pStyle w:val="MHPBody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35EC2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Outline of </w:t>
            </w:r>
            <w:r w:rsidR="006F65D2">
              <w:rPr>
                <w:rFonts w:asciiTheme="minorHAnsi" w:hAnsiTheme="minorHAnsi" w:cstheme="minorHAnsi"/>
                <w:szCs w:val="22"/>
              </w:rPr>
              <w:t>helpful practices</w:t>
            </w:r>
          </w:p>
        </w:tc>
        <w:tc>
          <w:tcPr>
            <w:tcW w:w="4395" w:type="dxa"/>
            <w:shd w:val="clear" w:color="auto" w:fill="BDD6EE" w:themeFill="accent5" w:themeFillTint="66"/>
          </w:tcPr>
          <w:p w14:paraId="154E6C7A" w14:textId="208AD7EF" w:rsidR="00404DCB" w:rsidRPr="00335EC2" w:rsidRDefault="00404DCB" w:rsidP="00056944">
            <w:pPr>
              <w:pStyle w:val="MHPBody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Justifications or details</w:t>
            </w:r>
          </w:p>
        </w:tc>
      </w:tr>
      <w:tr w:rsidR="00404DCB" w:rsidRPr="00950388" w14:paraId="1302613C" w14:textId="77777777" w:rsidTr="00535AE9">
        <w:trPr>
          <w:trHeight w:val="554"/>
        </w:trPr>
        <w:tc>
          <w:tcPr>
            <w:tcW w:w="4506" w:type="dxa"/>
            <w:shd w:val="clear" w:color="auto" w:fill="000000" w:themeFill="text1"/>
          </w:tcPr>
          <w:p w14:paraId="23B956A5" w14:textId="74D028B4" w:rsidR="00404DCB" w:rsidRPr="00E0375A" w:rsidRDefault="00535AE9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Invitatio</w:t>
            </w:r>
            <w:r w:rsidR="002D5527">
              <w:rPr>
                <w:rFonts w:asciiTheme="minorHAnsi" w:hAnsiTheme="minorHAnsi" w:cstheme="minorHAnsi"/>
              </w:rPr>
              <w:t>ns</w:t>
            </w:r>
          </w:p>
        </w:tc>
        <w:tc>
          <w:tcPr>
            <w:tcW w:w="4395" w:type="dxa"/>
            <w:shd w:val="clear" w:color="auto" w:fill="000000" w:themeFill="text1"/>
          </w:tcPr>
          <w:p w14:paraId="183DB982" w14:textId="6201A484" w:rsidR="00404DCB" w:rsidRPr="00786540" w:rsidRDefault="00404DCB" w:rsidP="00404DCB">
            <w:pPr>
              <w:spacing w:line="276" w:lineRule="auto"/>
              <w:outlineLvl w:val="0"/>
              <w:rPr>
                <w:rFonts w:cstheme="minorHAnsi"/>
              </w:rPr>
            </w:pPr>
            <w:r w:rsidRPr="00AD7DC4">
              <w:rPr>
                <w:rFonts w:cstheme="minorHAnsi"/>
              </w:rPr>
              <w:t xml:space="preserve">   </w:t>
            </w:r>
          </w:p>
        </w:tc>
      </w:tr>
      <w:tr w:rsidR="00845AB8" w:rsidRPr="00950388" w14:paraId="105EDA7E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56D21DFB" w14:textId="77777777" w:rsidR="006F65D2" w:rsidRDefault="00845AB8" w:rsidP="00404DCB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During the first email, </w:t>
            </w:r>
            <w:r w:rsidR="006F65D2">
              <w:rPr>
                <w:rFonts w:cstheme="minorHAnsi"/>
              </w:rPr>
              <w:t>indicate that you want to interview people over email.  Then</w:t>
            </w:r>
          </w:p>
          <w:p w14:paraId="668BA211" w14:textId="77777777" w:rsidR="006F65D2" w:rsidRDefault="006F65D2" w:rsidP="00404DCB">
            <w:pPr>
              <w:spacing w:line="276" w:lineRule="auto"/>
              <w:outlineLvl w:val="0"/>
              <w:rPr>
                <w:rFonts w:cstheme="minorHAnsi"/>
              </w:rPr>
            </w:pPr>
          </w:p>
          <w:p w14:paraId="1B58AB4A" w14:textId="77777777" w:rsidR="006F65D2" w:rsidRDefault="006F65D2" w:rsidP="006F65D2">
            <w:pPr>
              <w:pStyle w:val="ListParagraph"/>
              <w:numPr>
                <w:ilvl w:val="0"/>
                <w:numId w:val="29"/>
              </w:num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E188A" w:rsidRPr="006F65D2">
              <w:rPr>
                <w:rFonts w:cstheme="minorHAnsi"/>
              </w:rPr>
              <w:t xml:space="preserve">pecify the </w:t>
            </w:r>
            <w:r w:rsidRPr="006F65D2">
              <w:rPr>
                <w:rFonts w:cstheme="minorHAnsi"/>
              </w:rPr>
              <w:t>purpose</w:t>
            </w:r>
            <w:r w:rsidR="007E188A" w:rsidRPr="006F65D2">
              <w:rPr>
                <w:rFonts w:cstheme="minorHAnsi"/>
              </w:rPr>
              <w:t xml:space="preserve"> of your research</w:t>
            </w:r>
          </w:p>
          <w:p w14:paraId="4FAAC854" w14:textId="4E1DAD32" w:rsidR="006F65D2" w:rsidRDefault="006F65D2" w:rsidP="006F65D2">
            <w:pPr>
              <w:pStyle w:val="ListParagraph"/>
              <w:numPr>
                <w:ilvl w:val="0"/>
                <w:numId w:val="29"/>
              </w:num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indicate </w:t>
            </w:r>
            <w:r w:rsidR="007E188A" w:rsidRPr="006F65D2">
              <w:rPr>
                <w:rFonts w:cstheme="minorHAnsi"/>
              </w:rPr>
              <w:t>why this research is important to you</w:t>
            </w:r>
            <w:r w:rsidR="00867ECD">
              <w:rPr>
                <w:rFonts w:cstheme="minorHAnsi"/>
              </w:rPr>
              <w:t>—including some of the challenges you are experiencing</w:t>
            </w:r>
          </w:p>
          <w:p w14:paraId="4BCBFEE3" w14:textId="2BB0DB4E" w:rsidR="00845AB8" w:rsidRPr="006F65D2" w:rsidRDefault="006F65D2" w:rsidP="006F65D2">
            <w:pPr>
              <w:pStyle w:val="ListParagraph"/>
              <w:numPr>
                <w:ilvl w:val="0"/>
                <w:numId w:val="29"/>
              </w:num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</w:t>
            </w:r>
            <w:r w:rsidR="007E188A" w:rsidRPr="006F65D2">
              <w:rPr>
                <w:rFonts w:cstheme="minorHAnsi"/>
              </w:rPr>
              <w:t>the person whether they are interested in an interview and whether they would like more information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DB7A877" w14:textId="77777777" w:rsidR="006F65D2" w:rsidRDefault="007E188A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aim of these emails is partly to foster rapport.  So, </w:t>
            </w:r>
          </w:p>
          <w:p w14:paraId="2F881A00" w14:textId="77777777" w:rsidR="006F65D2" w:rsidRDefault="006F65D2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</w:p>
          <w:p w14:paraId="56EED8BA" w14:textId="77777777" w:rsidR="006F65D2" w:rsidRDefault="007E188A" w:rsidP="006F65D2">
            <w:pPr>
              <w:pStyle w:val="MHPBody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answer </w:t>
            </w:r>
            <w:r w:rsidR="006F65D2">
              <w:rPr>
                <w:rFonts w:asciiTheme="minorHAnsi" w:hAnsiTheme="minorHAnsi" w:cstheme="minorHAnsi"/>
              </w:rPr>
              <w:t xml:space="preserve">their </w:t>
            </w:r>
            <w:r>
              <w:rPr>
                <w:rFonts w:asciiTheme="minorHAnsi" w:hAnsiTheme="minorHAnsi" w:cstheme="minorHAnsi"/>
              </w:rPr>
              <w:t>questions</w:t>
            </w:r>
            <w:r w:rsidR="006F65D2">
              <w:rPr>
                <w:rFonts w:asciiTheme="minorHAnsi" w:hAnsiTheme="minorHAnsi" w:cstheme="minorHAnsi"/>
              </w:rPr>
              <w:t xml:space="preserve"> amicably</w:t>
            </w:r>
          </w:p>
          <w:p w14:paraId="6BFE2859" w14:textId="23FD3DC6" w:rsidR="00845AB8" w:rsidRDefault="007E188A" w:rsidP="006F65D2">
            <w:pPr>
              <w:pStyle w:val="MHPBody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perhaps highlight similarities between yourself and the potential respondents</w:t>
            </w:r>
          </w:p>
        </w:tc>
      </w:tr>
      <w:tr w:rsidR="00404DCB" w:rsidRPr="00950388" w14:paraId="43A3776D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5D58E654" w14:textId="6FCEDA8C" w:rsidR="00404DCB" w:rsidRPr="007A532B" w:rsidRDefault="006F65D2" w:rsidP="00404DCB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Before you ask questions</w:t>
            </w:r>
            <w:r w:rsidR="002D5527">
              <w:rPr>
                <w:rFonts w:cstheme="minorHAnsi"/>
              </w:rPr>
              <w:t xml:space="preserve">, offer an alternative avenue. 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68912D0" w14:textId="71A98427" w:rsidR="00404DCB" w:rsidRPr="00B272A3" w:rsidRDefault="006F65D2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one of the earlier emails, you could write </w:t>
            </w:r>
            <w:r w:rsidR="002C6682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W</w:t>
            </w:r>
            <w:r w:rsidR="002C6682">
              <w:rPr>
                <w:rFonts w:asciiTheme="minorHAnsi" w:hAnsiTheme="minorHAnsi" w:cstheme="minorHAnsi"/>
              </w:rPr>
              <w:t>ould prefer to speak in person, over the phone, or over the internet</w:t>
            </w:r>
            <w:r>
              <w:rPr>
                <w:rFonts w:asciiTheme="minorHAnsi" w:hAnsiTheme="minorHAnsi" w:cstheme="minorHAnsi"/>
              </w:rPr>
              <w:t>?”</w:t>
            </w:r>
          </w:p>
        </w:tc>
      </w:tr>
      <w:tr w:rsidR="00A972EB" w:rsidRPr="00950388" w14:paraId="22641CB2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66A8940D" w14:textId="03ECEB4C" w:rsidR="00A972EB" w:rsidRDefault="00A972EB" w:rsidP="00404DCB">
            <w:pPr>
              <w:spacing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Specify when you need the emails to be answered</w:t>
            </w:r>
            <w:r w:rsidR="00AB1BF6">
              <w:rPr>
                <w:rFonts w:cstheme="minorHAnsi"/>
              </w:rPr>
              <w:t xml:space="preserve"> (</w:t>
            </w:r>
            <w:r w:rsidR="00AB1BF6" w:rsidRPr="00AB1BF6">
              <w:rPr>
                <w:rFonts w:cstheme="minorHAnsi"/>
              </w:rPr>
              <w:t>Meho, 2006</w:t>
            </w:r>
            <w:r w:rsidR="00AB1BF6">
              <w:rPr>
                <w:rFonts w:cstheme="minorHAnsi"/>
              </w:rPr>
              <w:t>)</w:t>
            </w:r>
            <w:r w:rsidR="00E84BAB">
              <w:rPr>
                <w:rFonts w:cstheme="minorHAnsi"/>
              </w:rPr>
              <w:t xml:space="preserve">.  Furthermore, </w:t>
            </w:r>
            <w:r w:rsidR="00E84BAB" w:rsidRPr="008509F4">
              <w:rPr>
                <w:rFonts w:cstheme="minorHAnsi"/>
              </w:rPr>
              <w:t>Indicate the number of emails participants are likely to receive (Meho, 2006)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5D3B0B6" w14:textId="77777777" w:rsidR="006F65D2" w:rsidRDefault="00A972EB" w:rsidP="00CB22EE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could write </w:t>
            </w:r>
          </w:p>
          <w:p w14:paraId="79F416A1" w14:textId="77777777" w:rsidR="006F65D2" w:rsidRDefault="006F65D2" w:rsidP="00CB22EE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</w:p>
          <w:p w14:paraId="03128CFF" w14:textId="77777777" w:rsidR="006F65D2" w:rsidRDefault="00A972EB" w:rsidP="006F65D2">
            <w:pPr>
              <w:pStyle w:val="MHPBody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“If possible, we would like you to answer </w:t>
            </w:r>
            <w:r w:rsidR="006F65D2">
              <w:rPr>
                <w:rFonts w:asciiTheme="minorHAnsi" w:hAnsiTheme="minorHAnsi" w:cstheme="minorHAnsi"/>
              </w:rPr>
              <w:t>the first email</w:t>
            </w:r>
            <w:r>
              <w:rPr>
                <w:rFonts w:asciiTheme="minorHAnsi" w:hAnsiTheme="minorHAnsi" w:cstheme="minorHAnsi"/>
              </w:rPr>
              <w:t xml:space="preserve"> within </w:t>
            </w:r>
            <w:r w:rsidR="006F65D2">
              <w:rPr>
                <w:rFonts w:asciiTheme="minorHAnsi" w:hAnsiTheme="minorHAnsi" w:cstheme="minorHAnsi"/>
              </w:rPr>
              <w:t>a week”</w:t>
            </w:r>
            <w:r w:rsidR="00CB22EE">
              <w:rPr>
                <w:rFonts w:asciiTheme="minorHAnsi" w:hAnsiTheme="minorHAnsi" w:cstheme="minorHAnsi"/>
              </w:rPr>
              <w:t xml:space="preserve">.  </w:t>
            </w:r>
          </w:p>
          <w:p w14:paraId="47F56689" w14:textId="77777777" w:rsidR="006F65D2" w:rsidRDefault="006F65D2" w:rsidP="006F65D2">
            <w:pPr>
              <w:pStyle w:val="MHPBody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="00CB22EE" w:rsidRPr="008509F4">
              <w:rPr>
                <w:rFonts w:asciiTheme="minorHAnsi" w:hAnsiTheme="minorHAnsi" w:cstheme="minorHAnsi"/>
              </w:rPr>
              <w:t xml:space="preserve">After you respond to these questions, we might send </w:t>
            </w:r>
            <w:r>
              <w:rPr>
                <w:rFonts w:asciiTheme="minorHAnsi" w:hAnsiTheme="minorHAnsi" w:cstheme="minorHAnsi"/>
              </w:rPr>
              <w:t>between 2 and 5 additional</w:t>
            </w:r>
            <w:r w:rsidR="00CB22EE" w:rsidRPr="008509F4">
              <w:rPr>
                <w:rFonts w:asciiTheme="minorHAnsi" w:hAnsiTheme="minorHAnsi" w:cstheme="minorHAnsi"/>
              </w:rPr>
              <w:t xml:space="preserve"> emails, containing </w:t>
            </w:r>
            <w:r>
              <w:rPr>
                <w:rFonts w:asciiTheme="minorHAnsi" w:hAnsiTheme="minorHAnsi" w:cstheme="minorHAnsi"/>
              </w:rPr>
              <w:t xml:space="preserve">some clarifications or </w:t>
            </w:r>
            <w:r w:rsidR="00CB22EE" w:rsidRPr="008509F4">
              <w:rPr>
                <w:rFonts w:asciiTheme="minorHAnsi" w:hAnsiTheme="minorHAnsi" w:cstheme="minorHAnsi"/>
              </w:rPr>
              <w:t>extra questions</w:t>
            </w:r>
            <w:r>
              <w:rPr>
                <w:rFonts w:asciiTheme="minorHAnsi" w:hAnsiTheme="minorHAnsi" w:cstheme="minorHAnsi"/>
              </w:rPr>
              <w:t>”</w:t>
            </w:r>
            <w:r w:rsidR="00CB22EE" w:rsidRPr="008509F4">
              <w:rPr>
                <w:rFonts w:asciiTheme="minorHAnsi" w:hAnsiTheme="minorHAnsi" w:cstheme="minorHAnsi"/>
              </w:rPr>
              <w:t xml:space="preserve">.  </w:t>
            </w:r>
          </w:p>
          <w:p w14:paraId="6C44B1C1" w14:textId="163E215F" w:rsidR="00CB22EE" w:rsidRDefault="006F65D2" w:rsidP="006F65D2">
            <w:pPr>
              <w:pStyle w:val="MHPBody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="00CB22EE" w:rsidRPr="008509F4">
              <w:rPr>
                <w:rFonts w:asciiTheme="minorHAnsi" w:hAnsiTheme="minorHAnsi" w:cstheme="minorHAnsi"/>
              </w:rPr>
              <w:t>You are welcome to withdraw from these email interviews at any time”.</w:t>
            </w:r>
          </w:p>
        </w:tc>
      </w:tr>
      <w:tr w:rsidR="00404DCB" w:rsidRPr="00950388" w14:paraId="56E83FCD" w14:textId="77777777" w:rsidTr="00531411">
        <w:trPr>
          <w:trHeight w:val="554"/>
        </w:trPr>
        <w:tc>
          <w:tcPr>
            <w:tcW w:w="4506" w:type="dxa"/>
            <w:shd w:val="clear" w:color="auto" w:fill="000000" w:themeFill="text1"/>
          </w:tcPr>
          <w:p w14:paraId="71295D79" w14:textId="15015801" w:rsidR="00404DCB" w:rsidRPr="00B81799" w:rsidRDefault="00531411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4395" w:type="dxa"/>
            <w:shd w:val="clear" w:color="auto" w:fill="000000" w:themeFill="text1"/>
          </w:tcPr>
          <w:p w14:paraId="5AF3D2BB" w14:textId="2D607880" w:rsidR="00404DCB" w:rsidRPr="00A40957" w:rsidRDefault="00404DCB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 w:rsidRPr="00AD7DC4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973DEC" w:rsidRPr="00950388" w14:paraId="0DAD7936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5AF9B81C" w14:textId="52CD6D42" w:rsidR="00973DEC" w:rsidRPr="008509F4" w:rsidRDefault="007E188A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</w:t>
            </w:r>
            <w:r w:rsidR="00131524">
              <w:rPr>
                <w:rFonts w:asciiTheme="minorHAnsi" w:hAnsiTheme="minorHAnsi" w:cstheme="minorHAnsi"/>
              </w:rPr>
              <w:t xml:space="preserve">these initial emails—and once </w:t>
            </w:r>
            <w:r>
              <w:rPr>
                <w:rFonts w:asciiTheme="minorHAnsi" w:hAnsiTheme="minorHAnsi" w:cstheme="minorHAnsi"/>
              </w:rPr>
              <w:t>you have developed some rapport</w:t>
            </w:r>
            <w:r w:rsidR="00131524">
              <w:rPr>
                <w:rFonts w:asciiTheme="minorHAnsi" w:hAnsiTheme="minorHAnsi" w:cstheme="minorHAnsi"/>
              </w:rPr>
              <w:t>—</w:t>
            </w:r>
            <w:r>
              <w:rPr>
                <w:rFonts w:asciiTheme="minorHAnsi" w:hAnsiTheme="minorHAnsi" w:cstheme="minorHAnsi"/>
              </w:rPr>
              <w:t xml:space="preserve">send an email that includes the </w:t>
            </w:r>
            <w:r w:rsidR="00F47651">
              <w:rPr>
                <w:rFonts w:asciiTheme="minorHAnsi" w:hAnsiTheme="minorHAnsi" w:cstheme="minorHAnsi"/>
              </w:rPr>
              <w:t>key</w:t>
            </w:r>
            <w:r>
              <w:rPr>
                <w:rFonts w:asciiTheme="minorHAnsi" w:hAnsiTheme="minorHAnsi" w:cstheme="minorHAnsi"/>
              </w:rPr>
              <w:t xml:space="preserve"> questions you want to ask.   </w:t>
            </w:r>
            <w:r w:rsidR="006B3B99">
              <w:rPr>
                <w:rFonts w:asciiTheme="minorHAnsi" w:hAnsiTheme="minorHAnsi" w:cstheme="minorHAnsi"/>
              </w:rPr>
              <w:t>Do</w:t>
            </w:r>
            <w:r w:rsidR="00E41930">
              <w:rPr>
                <w:rFonts w:asciiTheme="minorHAnsi" w:hAnsiTheme="minorHAnsi" w:cstheme="minorHAnsi"/>
              </w:rPr>
              <w:t xml:space="preserve"> not include too many questions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918F64B" w14:textId="3397CA58" w:rsidR="00973DEC" w:rsidRPr="008509F4" w:rsidRDefault="00295B99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Embed the questions within the email rather than attach the questions in a document (</w:t>
            </w:r>
            <w:r w:rsidR="006B3B99">
              <w:rPr>
                <w:rFonts w:asciiTheme="minorHAnsi" w:hAnsiTheme="minorHAnsi" w:cstheme="minorHAnsi"/>
              </w:rPr>
              <w:t xml:space="preserve">see </w:t>
            </w:r>
            <w:r w:rsidRPr="00295B99">
              <w:rPr>
                <w:rFonts w:asciiTheme="minorHAnsi" w:hAnsiTheme="minorHAnsi" w:cstheme="minorHAnsi"/>
              </w:rPr>
              <w:t>Dommeyer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95B99">
              <w:rPr>
                <w:rFonts w:asciiTheme="minorHAnsi" w:hAnsiTheme="minorHAnsi" w:cstheme="minorHAnsi"/>
              </w:rPr>
              <w:t>&amp; Moriarty, 2000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457B3" w:rsidRPr="00950388" w14:paraId="3D07B3AC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6B38B90D" w14:textId="2AA6E109" w:rsidR="008457B3" w:rsidRDefault="008457B3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with questions that are likely to be simple but broad, such as “Can you describe a time in which you…”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A201D0F" w14:textId="7ECB4473" w:rsidR="008457B3" w:rsidRDefault="0000578F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Once participants begin to </w:t>
            </w:r>
            <w:r w:rsidR="007E208C">
              <w:rPr>
                <w:rFonts w:asciiTheme="minorHAnsi" w:hAnsiTheme="minorHAnsi" w:cstheme="minorHAnsi"/>
              </w:rPr>
              <w:t>respond</w:t>
            </w:r>
            <w:r>
              <w:rPr>
                <w:rFonts w:asciiTheme="minorHAnsi" w:hAnsiTheme="minorHAnsi" w:cstheme="minorHAnsi"/>
              </w:rPr>
              <w:t xml:space="preserve">, they are likely to answer </w:t>
            </w:r>
            <w:r w:rsidR="007E208C">
              <w:rPr>
                <w:rFonts w:asciiTheme="minorHAnsi" w:hAnsiTheme="minorHAnsi" w:cstheme="minorHAnsi"/>
              </w:rPr>
              <w:t>other</w:t>
            </w:r>
            <w:r>
              <w:rPr>
                <w:rFonts w:asciiTheme="minorHAnsi" w:hAnsiTheme="minorHAnsi" w:cstheme="minorHAnsi"/>
              </w:rPr>
              <w:t xml:space="preserve"> questions</w:t>
            </w:r>
            <w:r w:rsidR="007E208C">
              <w:rPr>
                <w:rFonts w:asciiTheme="minorHAnsi" w:hAnsiTheme="minorHAnsi" w:cstheme="minorHAnsi"/>
              </w:rPr>
              <w:t xml:space="preserve"> as well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404DCB" w:rsidRPr="00950388" w14:paraId="692ED814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26E47C95" w14:textId="0931034C" w:rsidR="00404DCB" w:rsidRPr="008509F4" w:rsidRDefault="00E84BAB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they respond, you might send another email of questions that are designed to clarify their answers</w:t>
            </w:r>
            <w:r w:rsidR="00F4765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to demonstrate your understanding</w:t>
            </w:r>
            <w:r w:rsidR="00F47651">
              <w:rPr>
                <w:rFonts w:asciiTheme="minorHAnsi" w:hAnsiTheme="minorHAnsi" w:cstheme="minorHAnsi"/>
              </w:rPr>
              <w:t>, or to explore other matters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68C2331" w14:textId="7C664CFE" w:rsidR="009C68AE" w:rsidRPr="008509F4" w:rsidRDefault="00B37472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the questions seem as enticing as possible.  You could even highlight your fascination, with comments like “That’s really intriguing.  Could you tell me more about how…” </w:t>
            </w:r>
          </w:p>
        </w:tc>
      </w:tr>
      <w:tr w:rsidR="00C85007" w:rsidRPr="00950388" w14:paraId="7AB655A6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1021FC80" w14:textId="5A03BD07" w:rsidR="00C85007" w:rsidRPr="008509F4" w:rsidRDefault="00E84BAB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one of these</w:t>
            </w:r>
            <w:r w:rsidR="0044340A">
              <w:rPr>
                <w:rFonts w:asciiTheme="minorHAnsi" w:hAnsiTheme="minorHAnsi" w:cstheme="minorHAnsi"/>
              </w:rPr>
              <w:t xml:space="preserve"> emails, clarify </w:t>
            </w:r>
            <w:r>
              <w:rPr>
                <w:rFonts w:asciiTheme="minorHAnsi" w:hAnsiTheme="minorHAnsi" w:cstheme="minorHAnsi"/>
              </w:rPr>
              <w:t xml:space="preserve">their </w:t>
            </w:r>
            <w:r w:rsidR="0044340A">
              <w:rPr>
                <w:rFonts w:asciiTheme="minorHAnsi" w:hAnsiTheme="minorHAnsi" w:cstheme="minorHAnsi"/>
              </w:rPr>
              <w:t xml:space="preserve">demographics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2E08761" w14:textId="75A9D4BE" w:rsidR="00C85007" w:rsidRPr="008509F4" w:rsidRDefault="0044340A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could ask participants to indicate their age, education,  and ethnicity if relevant to the study. </w:t>
            </w:r>
            <w:r w:rsidR="00E84BAB">
              <w:rPr>
                <w:rFonts w:asciiTheme="minorHAnsi" w:hAnsiTheme="minorHAnsi" w:cstheme="minorHAnsi"/>
              </w:rPr>
              <w:t xml:space="preserve"> Include these questions </w:t>
            </w:r>
            <w:r w:rsidR="00781221">
              <w:rPr>
                <w:rFonts w:asciiTheme="minorHAnsi" w:hAnsiTheme="minorHAnsi" w:cstheme="minorHAnsi"/>
              </w:rPr>
              <w:t xml:space="preserve">as soon as you have developed trust—and thus before participants might withdraw. </w:t>
            </w:r>
          </w:p>
        </w:tc>
      </w:tr>
      <w:tr w:rsidR="0000578F" w:rsidRPr="00950388" w14:paraId="0FDF3A8D" w14:textId="77777777" w:rsidTr="0000578F">
        <w:trPr>
          <w:trHeight w:val="554"/>
        </w:trPr>
        <w:tc>
          <w:tcPr>
            <w:tcW w:w="4506" w:type="dxa"/>
            <w:shd w:val="clear" w:color="auto" w:fill="000000" w:themeFill="text1"/>
          </w:tcPr>
          <w:p w14:paraId="4BABFA51" w14:textId="276428C7" w:rsidR="0000578F" w:rsidRPr="008509F4" w:rsidRDefault="0000578F" w:rsidP="0000578F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End</w:t>
            </w:r>
          </w:p>
        </w:tc>
        <w:tc>
          <w:tcPr>
            <w:tcW w:w="4395" w:type="dxa"/>
            <w:shd w:val="clear" w:color="auto" w:fill="000000" w:themeFill="text1"/>
          </w:tcPr>
          <w:p w14:paraId="1FAECC45" w14:textId="57DBB8D8" w:rsidR="0000578F" w:rsidRPr="008509F4" w:rsidRDefault="0000578F" w:rsidP="0000578F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 w:rsidRPr="00AD7DC4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00578F" w:rsidRPr="00950388" w14:paraId="72D49C07" w14:textId="77777777" w:rsidTr="00056944">
        <w:trPr>
          <w:trHeight w:val="554"/>
        </w:trPr>
        <w:tc>
          <w:tcPr>
            <w:tcW w:w="4506" w:type="dxa"/>
            <w:shd w:val="clear" w:color="auto" w:fill="D9D9D9" w:themeFill="background1" w:themeFillShade="D9"/>
          </w:tcPr>
          <w:p w14:paraId="34CE3A75" w14:textId="1F5A6051" w:rsidR="0000578F" w:rsidRPr="008509F4" w:rsidRDefault="0000578F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you feel you have sent enough emails, you should end the interviews and thank the participants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A3B7AC6" w14:textId="77777777" w:rsidR="00CC1C0C" w:rsidRDefault="0000578F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could write </w:t>
            </w:r>
          </w:p>
          <w:p w14:paraId="4B03B897" w14:textId="77777777" w:rsidR="00CC1C0C" w:rsidRDefault="00CC1C0C" w:rsidP="00404DCB">
            <w:pPr>
              <w:pStyle w:val="MHPBody"/>
              <w:spacing w:line="276" w:lineRule="auto"/>
              <w:rPr>
                <w:rFonts w:asciiTheme="minorHAnsi" w:hAnsiTheme="minorHAnsi" w:cstheme="minorHAnsi"/>
              </w:rPr>
            </w:pPr>
          </w:p>
          <w:p w14:paraId="474CBEE0" w14:textId="77777777" w:rsidR="00CC1C0C" w:rsidRDefault="0000578F" w:rsidP="00CC1C0C">
            <w:pPr>
              <w:pStyle w:val="MHPBody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“Thank you so much for your insights</w:t>
            </w:r>
            <w:r w:rsidR="00CC1C0C">
              <w:rPr>
                <w:rFonts w:asciiTheme="minorHAnsi" w:hAnsiTheme="minorHAnsi" w:cstheme="minorHAnsi"/>
              </w:rPr>
              <w:t>”</w:t>
            </w:r>
          </w:p>
          <w:p w14:paraId="66A569B1" w14:textId="549C89B0" w:rsidR="0000578F" w:rsidRPr="008509F4" w:rsidRDefault="00CC1C0C" w:rsidP="00CC1C0C">
            <w:pPr>
              <w:pStyle w:val="MHPBody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="0000578F">
              <w:rPr>
                <w:rFonts w:asciiTheme="minorHAnsi" w:hAnsiTheme="minorHAnsi" w:cstheme="minorHAnsi"/>
              </w:rPr>
              <w:t xml:space="preserve">Let us know whether you would like a summary of your results and a summary of the overall results”.  </w:t>
            </w:r>
          </w:p>
        </w:tc>
      </w:tr>
    </w:tbl>
    <w:p w14:paraId="452469D5" w14:textId="77777777" w:rsidR="00404DCB" w:rsidRPr="00950388" w:rsidRDefault="00404DCB" w:rsidP="00404DCB">
      <w:pPr>
        <w:spacing w:line="276" w:lineRule="auto"/>
        <w:outlineLvl w:val="0"/>
        <w:rPr>
          <w:sz w:val="22"/>
          <w:szCs w:val="22"/>
        </w:rPr>
      </w:pPr>
    </w:p>
    <w:p w14:paraId="402A097B" w14:textId="77777777" w:rsidR="00B1737F" w:rsidRPr="00950388" w:rsidRDefault="00B1737F" w:rsidP="00B1737F">
      <w:pPr>
        <w:spacing w:line="276" w:lineRule="auto"/>
        <w:outlineLv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1737F" w:rsidRPr="00950388" w14:paraId="396CCF85" w14:textId="77777777" w:rsidTr="00056944">
        <w:tc>
          <w:tcPr>
            <w:tcW w:w="9010" w:type="dxa"/>
            <w:shd w:val="clear" w:color="auto" w:fill="BDD6EE" w:themeFill="accent5" w:themeFillTint="66"/>
          </w:tcPr>
          <w:p w14:paraId="27BA8429" w14:textId="64A01AF8" w:rsidR="00B1737F" w:rsidRPr="00950388" w:rsidRDefault="00B1737F" w:rsidP="00056944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</w:tbl>
    <w:p w14:paraId="0555760E" w14:textId="6923BD03" w:rsidR="00297B8E" w:rsidRDefault="00297B8E" w:rsidP="0085476C">
      <w:pPr>
        <w:spacing w:line="276" w:lineRule="auto"/>
        <w:outlineLvl w:val="0"/>
        <w:rPr>
          <w:sz w:val="22"/>
          <w:szCs w:val="22"/>
        </w:rPr>
      </w:pPr>
    </w:p>
    <w:p w14:paraId="110A24C1" w14:textId="172D9369" w:rsidR="00333707" w:rsidRDefault="00333707" w:rsidP="0085476C">
      <w:pPr>
        <w:spacing w:line="276" w:lineRule="auto"/>
        <w:outlineLvl w:val="0"/>
        <w:rPr>
          <w:sz w:val="22"/>
          <w:szCs w:val="22"/>
        </w:rPr>
      </w:pPr>
      <w:r w:rsidRPr="00333707">
        <w:rPr>
          <w:sz w:val="22"/>
          <w:szCs w:val="22"/>
        </w:rPr>
        <w:t>Bowden, C., &amp; Galindo-Gonzalez, S. (2015). Interviewing when you’re not face-to-face: The use of email interviews in a phenomenological study. International Journal of Doctoral Studies, 10, 79-92.</w:t>
      </w:r>
    </w:p>
    <w:p w14:paraId="4A7CDAF7" w14:textId="32E91BEF" w:rsidR="005A7426" w:rsidRDefault="005A7426" w:rsidP="0085476C">
      <w:pPr>
        <w:spacing w:line="276" w:lineRule="auto"/>
        <w:outlineLvl w:val="0"/>
        <w:rPr>
          <w:sz w:val="22"/>
          <w:szCs w:val="22"/>
        </w:rPr>
      </w:pPr>
    </w:p>
    <w:p w14:paraId="33E17060" w14:textId="3E42177D" w:rsidR="005A7426" w:rsidRDefault="005A7426" w:rsidP="0085476C">
      <w:pPr>
        <w:spacing w:line="276" w:lineRule="auto"/>
        <w:outlineLvl w:val="0"/>
        <w:rPr>
          <w:sz w:val="22"/>
          <w:szCs w:val="22"/>
        </w:rPr>
      </w:pPr>
      <w:r w:rsidRPr="005A7426">
        <w:rPr>
          <w:sz w:val="22"/>
          <w:szCs w:val="22"/>
        </w:rPr>
        <w:t>Burns, E. (2010). Developing email interview practices in qualitative research. Sociological Research Online, 15(4)</w:t>
      </w:r>
      <w:r w:rsidR="00174AB0">
        <w:rPr>
          <w:sz w:val="22"/>
          <w:szCs w:val="22"/>
        </w:rPr>
        <w:t>.</w:t>
      </w:r>
    </w:p>
    <w:p w14:paraId="088BED08" w14:textId="7B10FE7B" w:rsidR="00174AB0" w:rsidRDefault="00174AB0" w:rsidP="0085476C">
      <w:pPr>
        <w:spacing w:line="276" w:lineRule="auto"/>
        <w:outlineLvl w:val="0"/>
        <w:rPr>
          <w:sz w:val="22"/>
          <w:szCs w:val="22"/>
        </w:rPr>
      </w:pPr>
    </w:p>
    <w:p w14:paraId="55FFA5D3" w14:textId="50BCF571" w:rsidR="00174AB0" w:rsidRDefault="00174AB0" w:rsidP="0085476C">
      <w:pPr>
        <w:spacing w:line="276" w:lineRule="auto"/>
        <w:outlineLvl w:val="0"/>
        <w:rPr>
          <w:sz w:val="22"/>
          <w:szCs w:val="22"/>
        </w:rPr>
      </w:pPr>
      <w:r w:rsidRPr="00174AB0">
        <w:rPr>
          <w:sz w:val="22"/>
          <w:szCs w:val="22"/>
        </w:rPr>
        <w:t>Cook, C. (2012). Email interviewing: Generating data with a vulnerable population. Journal of Advanced Nursing, 68(6), 1330-1339.</w:t>
      </w:r>
    </w:p>
    <w:p w14:paraId="7C20D414" w14:textId="1274EFEA" w:rsidR="00174AB0" w:rsidRDefault="00174AB0" w:rsidP="0085476C">
      <w:pPr>
        <w:spacing w:line="276" w:lineRule="auto"/>
        <w:outlineLvl w:val="0"/>
        <w:rPr>
          <w:sz w:val="22"/>
          <w:szCs w:val="22"/>
        </w:rPr>
      </w:pPr>
    </w:p>
    <w:p w14:paraId="2B24A62C" w14:textId="6EC95BA6" w:rsidR="00174AB0" w:rsidRDefault="00D11D99" w:rsidP="0085476C">
      <w:pPr>
        <w:spacing w:line="276" w:lineRule="auto"/>
        <w:outlineLvl w:val="0"/>
        <w:rPr>
          <w:sz w:val="22"/>
          <w:szCs w:val="22"/>
        </w:rPr>
      </w:pPr>
      <w:r w:rsidRPr="00D11D99">
        <w:rPr>
          <w:sz w:val="22"/>
          <w:szCs w:val="22"/>
        </w:rPr>
        <w:t>Dommeyer, C., &amp; Moriarty, E. (2000). Comparing two forms of an email survey: Embedded vs. attached. International Journal of Market Research, 42(1), 39-50.</w:t>
      </w:r>
    </w:p>
    <w:p w14:paraId="3DCDD356" w14:textId="1C31509A" w:rsidR="00D11D99" w:rsidRDefault="00D11D99" w:rsidP="0085476C">
      <w:pPr>
        <w:spacing w:line="276" w:lineRule="auto"/>
        <w:outlineLvl w:val="0"/>
        <w:rPr>
          <w:sz w:val="22"/>
          <w:szCs w:val="22"/>
        </w:rPr>
      </w:pPr>
    </w:p>
    <w:p w14:paraId="2AEDECED" w14:textId="077FC214" w:rsidR="00D11D99" w:rsidRDefault="00C27ACE" w:rsidP="0085476C">
      <w:pPr>
        <w:spacing w:line="276" w:lineRule="auto"/>
        <w:outlineLvl w:val="0"/>
        <w:rPr>
          <w:sz w:val="22"/>
          <w:szCs w:val="22"/>
        </w:rPr>
      </w:pPr>
      <w:r w:rsidRPr="00C27ACE">
        <w:rPr>
          <w:sz w:val="22"/>
          <w:szCs w:val="22"/>
        </w:rPr>
        <w:t>Egan, J., Chenoweth, L., &amp; Mcauliffe, D. (2006). Email-facilitated qualitative interviews with traumatic brain injury survivors: A new and accessible method. Brain Injury, 20(12), 1283-1894.</w:t>
      </w:r>
    </w:p>
    <w:p w14:paraId="4B4524E0" w14:textId="36A47446" w:rsidR="009619D7" w:rsidRDefault="009619D7" w:rsidP="0085476C">
      <w:pPr>
        <w:spacing w:line="276" w:lineRule="auto"/>
        <w:outlineLvl w:val="0"/>
        <w:rPr>
          <w:sz w:val="22"/>
          <w:szCs w:val="22"/>
        </w:rPr>
      </w:pPr>
    </w:p>
    <w:p w14:paraId="5E0D8588" w14:textId="39020065" w:rsidR="009619D7" w:rsidRDefault="009619D7" w:rsidP="0085476C">
      <w:pPr>
        <w:spacing w:line="276" w:lineRule="auto"/>
        <w:outlineLvl w:val="0"/>
        <w:rPr>
          <w:sz w:val="22"/>
          <w:szCs w:val="22"/>
        </w:rPr>
      </w:pPr>
      <w:r w:rsidRPr="009619D7">
        <w:rPr>
          <w:sz w:val="22"/>
          <w:szCs w:val="22"/>
        </w:rPr>
        <w:t>Fontes, T., &amp; O’Mahony, M. (2008). In-depth interviewing by instant messaging. Social Research Update, 53, 1-4.</w:t>
      </w:r>
    </w:p>
    <w:p w14:paraId="1CD5FA49" w14:textId="57EF82F5" w:rsidR="009619D7" w:rsidRDefault="009619D7" w:rsidP="0085476C">
      <w:pPr>
        <w:spacing w:line="276" w:lineRule="auto"/>
        <w:outlineLvl w:val="0"/>
        <w:rPr>
          <w:sz w:val="22"/>
          <w:szCs w:val="22"/>
        </w:rPr>
      </w:pPr>
    </w:p>
    <w:p w14:paraId="1A7FD2F0" w14:textId="18E33C02" w:rsidR="009619D7" w:rsidRDefault="00B40BE0" w:rsidP="0085476C">
      <w:pPr>
        <w:spacing w:line="276" w:lineRule="auto"/>
        <w:outlineLvl w:val="0"/>
        <w:rPr>
          <w:sz w:val="22"/>
          <w:szCs w:val="22"/>
        </w:rPr>
      </w:pPr>
      <w:r w:rsidRPr="00B40BE0">
        <w:rPr>
          <w:sz w:val="22"/>
          <w:szCs w:val="22"/>
        </w:rPr>
        <w:t>Jowett, A., Peel, E., &amp; Shaw, R. (2011). Online interviewing in psychology: Reflections on the process. Qualitative Research in Psychology, 8(4), 354-369.</w:t>
      </w:r>
    </w:p>
    <w:p w14:paraId="6081DE1C" w14:textId="607FC339" w:rsidR="00A032D7" w:rsidRDefault="00A032D7" w:rsidP="0085476C">
      <w:pPr>
        <w:spacing w:line="276" w:lineRule="auto"/>
        <w:outlineLvl w:val="0"/>
        <w:rPr>
          <w:sz w:val="22"/>
          <w:szCs w:val="22"/>
        </w:rPr>
      </w:pPr>
    </w:p>
    <w:p w14:paraId="20714823" w14:textId="0C1E0554" w:rsidR="00AB1BF6" w:rsidRDefault="00AB1BF6" w:rsidP="00AB1BF6">
      <w:pPr>
        <w:spacing w:line="276" w:lineRule="auto"/>
        <w:outlineLvl w:val="0"/>
        <w:rPr>
          <w:sz w:val="22"/>
          <w:szCs w:val="22"/>
        </w:rPr>
      </w:pPr>
      <w:r w:rsidRPr="00AB1BF6">
        <w:rPr>
          <w:sz w:val="22"/>
          <w:szCs w:val="22"/>
        </w:rPr>
        <w:t>Meho, L. (2006). E-mail interviewing in qualitative research: A methodological discussion. Journal of the</w:t>
      </w:r>
      <w:r>
        <w:rPr>
          <w:sz w:val="22"/>
          <w:szCs w:val="22"/>
        </w:rPr>
        <w:t xml:space="preserve"> </w:t>
      </w:r>
      <w:r w:rsidRPr="00AB1BF6">
        <w:rPr>
          <w:sz w:val="22"/>
          <w:szCs w:val="22"/>
        </w:rPr>
        <w:t>American Society for Information Science and Technology, 57(10), 1284-1295.</w:t>
      </w:r>
    </w:p>
    <w:p w14:paraId="56D452B6" w14:textId="77777777" w:rsidR="00AB1BF6" w:rsidRDefault="00AB1BF6" w:rsidP="00AB1BF6">
      <w:pPr>
        <w:spacing w:line="276" w:lineRule="auto"/>
        <w:outlineLvl w:val="0"/>
        <w:rPr>
          <w:sz w:val="22"/>
          <w:szCs w:val="22"/>
        </w:rPr>
      </w:pPr>
    </w:p>
    <w:p w14:paraId="42092192" w14:textId="46E7E7B9" w:rsidR="00A032D7" w:rsidRDefault="00A032D7" w:rsidP="0085476C">
      <w:pPr>
        <w:spacing w:line="276" w:lineRule="auto"/>
        <w:outlineLvl w:val="0"/>
        <w:rPr>
          <w:sz w:val="22"/>
          <w:szCs w:val="22"/>
        </w:rPr>
      </w:pPr>
      <w:r w:rsidRPr="00A032D7">
        <w:rPr>
          <w:sz w:val="22"/>
          <w:szCs w:val="22"/>
        </w:rPr>
        <w:t>Opdenakker, R. (2006). Advantages and disadvantages of four interview techniques in qualitative research. Forum: Qualitative Social Research, 7(4), Art. 11.</w:t>
      </w:r>
    </w:p>
    <w:p w14:paraId="052AFF7F" w14:textId="5D9866B4" w:rsidR="007B7D73" w:rsidRDefault="007B7D73" w:rsidP="0085476C">
      <w:pPr>
        <w:spacing w:line="276" w:lineRule="auto"/>
        <w:outlineLvl w:val="0"/>
        <w:rPr>
          <w:sz w:val="22"/>
          <w:szCs w:val="22"/>
        </w:rPr>
      </w:pPr>
    </w:p>
    <w:p w14:paraId="3AA8F0BE" w14:textId="6EDCDF80" w:rsidR="007B7D73" w:rsidRDefault="007B7D73" w:rsidP="0085476C">
      <w:pPr>
        <w:spacing w:line="276" w:lineRule="auto"/>
        <w:outlineLvl w:val="0"/>
        <w:rPr>
          <w:sz w:val="22"/>
          <w:szCs w:val="22"/>
        </w:rPr>
      </w:pPr>
      <w:r w:rsidRPr="007B7D73">
        <w:rPr>
          <w:sz w:val="22"/>
          <w:szCs w:val="22"/>
        </w:rPr>
        <w:lastRenderedPageBreak/>
        <w:t>Ratislavová, K., &amp; Ratislav, J. (2014). Asynchronous email interview as a qualitative research method in the humanities. Human Affairs, 24(4), 452-460.</w:t>
      </w:r>
    </w:p>
    <w:p w14:paraId="265C622B" w14:textId="412ECED5" w:rsidR="00E43E48" w:rsidRDefault="00E43E48" w:rsidP="0085476C">
      <w:pPr>
        <w:spacing w:line="276" w:lineRule="auto"/>
        <w:outlineLvl w:val="0"/>
        <w:rPr>
          <w:sz w:val="22"/>
          <w:szCs w:val="22"/>
        </w:rPr>
      </w:pPr>
    </w:p>
    <w:p w14:paraId="2E050123" w14:textId="4DEA8CCA" w:rsidR="00E43E48" w:rsidRDefault="00E43E48" w:rsidP="00E43E48">
      <w:pPr>
        <w:spacing w:line="276" w:lineRule="auto"/>
        <w:outlineLvl w:val="0"/>
        <w:rPr>
          <w:sz w:val="22"/>
          <w:szCs w:val="22"/>
        </w:rPr>
      </w:pPr>
      <w:r w:rsidRPr="00E43E48">
        <w:rPr>
          <w:sz w:val="22"/>
          <w:szCs w:val="22"/>
        </w:rPr>
        <w:t>Seymour, W. (2001). In the flesh or online? Exploring qualitative research methodologies. Qualitative Research, 1(2), 147-168.</w:t>
      </w:r>
    </w:p>
    <w:p w14:paraId="19F8C6BB" w14:textId="77777777" w:rsidR="00E43E48" w:rsidRPr="00E43E48" w:rsidRDefault="00E43E48" w:rsidP="00E43E48">
      <w:pPr>
        <w:spacing w:line="276" w:lineRule="auto"/>
        <w:outlineLvl w:val="0"/>
        <w:rPr>
          <w:sz w:val="22"/>
          <w:szCs w:val="22"/>
        </w:rPr>
      </w:pPr>
    </w:p>
    <w:p w14:paraId="3BC19899" w14:textId="11095A95" w:rsidR="00E43E48" w:rsidRDefault="00E43E48" w:rsidP="00E43E48">
      <w:pPr>
        <w:spacing w:line="276" w:lineRule="auto"/>
        <w:outlineLvl w:val="0"/>
        <w:rPr>
          <w:sz w:val="22"/>
          <w:szCs w:val="22"/>
        </w:rPr>
      </w:pPr>
      <w:r w:rsidRPr="00E43E48">
        <w:rPr>
          <w:sz w:val="22"/>
          <w:szCs w:val="22"/>
        </w:rPr>
        <w:t>Synnot, A., Hill, S., Summers, M., &amp; Taylor, M. (2014). Comparing face-to-face and online qualitative research with people with multiple sclerosis. Qualitative Health Research, 24(3), 431-438.</w:t>
      </w:r>
    </w:p>
    <w:p w14:paraId="3A487DD7" w14:textId="0A1076FA" w:rsidR="000C6B86" w:rsidRDefault="000C6B86" w:rsidP="0085476C">
      <w:pPr>
        <w:spacing w:line="276" w:lineRule="auto"/>
        <w:outlineLvl w:val="0"/>
        <w:rPr>
          <w:sz w:val="22"/>
          <w:szCs w:val="22"/>
        </w:rPr>
      </w:pPr>
    </w:p>
    <w:p w14:paraId="34B10E71" w14:textId="5FDCF554" w:rsidR="000C6B86" w:rsidRDefault="000C6B86" w:rsidP="0085476C">
      <w:pPr>
        <w:spacing w:line="276" w:lineRule="auto"/>
        <w:outlineLvl w:val="0"/>
        <w:rPr>
          <w:sz w:val="22"/>
          <w:szCs w:val="22"/>
        </w:rPr>
      </w:pPr>
      <w:r w:rsidRPr="000C6B86">
        <w:rPr>
          <w:sz w:val="22"/>
          <w:szCs w:val="22"/>
        </w:rPr>
        <w:t>Tates, K., Zwaanswijk, M., Otten, R., van Dulmen, S., Hoogerhrugge, P., Kamps, W., &amp; Bensing, J. (2009). Online focus groups as a tool to collect data in hard-to-include populations: Examples from pediatric oncology. BMC Medical Research Methodology, 9(15).</w:t>
      </w:r>
    </w:p>
    <w:p w14:paraId="5FC1EDD9" w14:textId="2DCE787F" w:rsidR="00DE791B" w:rsidRDefault="00DE791B" w:rsidP="0085476C">
      <w:pPr>
        <w:spacing w:line="276" w:lineRule="auto"/>
        <w:outlineLvl w:val="0"/>
        <w:rPr>
          <w:sz w:val="22"/>
          <w:szCs w:val="22"/>
        </w:rPr>
      </w:pPr>
    </w:p>
    <w:p w14:paraId="64F171BB" w14:textId="67A2830B" w:rsidR="00DE791B" w:rsidRDefault="00DE791B" w:rsidP="0085476C">
      <w:pPr>
        <w:spacing w:line="276" w:lineRule="auto"/>
        <w:outlineLvl w:val="0"/>
        <w:rPr>
          <w:sz w:val="22"/>
          <w:szCs w:val="22"/>
        </w:rPr>
      </w:pPr>
      <w:r w:rsidRPr="00DE791B">
        <w:rPr>
          <w:sz w:val="22"/>
          <w:szCs w:val="22"/>
        </w:rPr>
        <w:t>Williams, S., Clausen, M., Robertson, A., Peacock, S., &amp; McPherson, K. (2012). Methodological reflection on the use of asynchronous online focus groups in health research. International Journal of Qualitative Methods, 11(4), 368-383.</w:t>
      </w:r>
    </w:p>
    <w:p w14:paraId="220F23F0" w14:textId="77777777" w:rsidR="00174AB0" w:rsidRDefault="00174AB0" w:rsidP="0085476C">
      <w:pPr>
        <w:spacing w:line="276" w:lineRule="auto"/>
        <w:outlineLvl w:val="0"/>
        <w:rPr>
          <w:sz w:val="22"/>
          <w:szCs w:val="22"/>
        </w:rPr>
      </w:pPr>
    </w:p>
    <w:sectPr w:rsidR="00174AB0" w:rsidSect="00BE298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6711" w14:textId="77777777" w:rsidR="00CF0A38" w:rsidRDefault="00CF0A38" w:rsidP="00703C03">
      <w:r>
        <w:separator/>
      </w:r>
    </w:p>
  </w:endnote>
  <w:endnote w:type="continuationSeparator" w:id="0">
    <w:p w14:paraId="683B0418" w14:textId="77777777" w:rsidR="00CF0A38" w:rsidRDefault="00CF0A38" w:rsidP="0070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E6E9" w14:textId="77777777" w:rsidR="00CF0A38" w:rsidRDefault="00CF0A38" w:rsidP="00703C03">
      <w:r>
        <w:separator/>
      </w:r>
    </w:p>
  </w:footnote>
  <w:footnote w:type="continuationSeparator" w:id="0">
    <w:p w14:paraId="3C1F12B7" w14:textId="77777777" w:rsidR="00CF0A38" w:rsidRDefault="00CF0A38" w:rsidP="0070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4BDC" w14:textId="5D06B999" w:rsidR="00703C03" w:rsidRDefault="00703C03" w:rsidP="00703C03">
    <w:pPr>
      <w:pStyle w:val="Header"/>
      <w:jc w:val="right"/>
    </w:pPr>
    <w:r>
      <w:rPr>
        <w:noProof/>
      </w:rPr>
      <w:drawing>
        <wp:inline distT="0" distB="0" distL="0" distR="0" wp14:anchorId="660B1C6A" wp14:editId="534DF5AF">
          <wp:extent cx="2785957" cy="13328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U_Logo_Base_Float_Left Anchored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29" cy="133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326B"/>
    <w:multiLevelType w:val="hybridMultilevel"/>
    <w:tmpl w:val="032E54F2"/>
    <w:lvl w:ilvl="0" w:tplc="7A36F5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E41"/>
    <w:multiLevelType w:val="hybridMultilevel"/>
    <w:tmpl w:val="6A0240D2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72605"/>
    <w:multiLevelType w:val="hybridMultilevel"/>
    <w:tmpl w:val="A4526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56102"/>
    <w:multiLevelType w:val="hybridMultilevel"/>
    <w:tmpl w:val="851C2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11A15"/>
    <w:multiLevelType w:val="hybridMultilevel"/>
    <w:tmpl w:val="86E0A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A06A6"/>
    <w:multiLevelType w:val="hybridMultilevel"/>
    <w:tmpl w:val="9AD0C128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533BF"/>
    <w:multiLevelType w:val="hybridMultilevel"/>
    <w:tmpl w:val="DCB0E42A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E38A9"/>
    <w:multiLevelType w:val="hybridMultilevel"/>
    <w:tmpl w:val="E06AD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C366A"/>
    <w:multiLevelType w:val="hybridMultilevel"/>
    <w:tmpl w:val="A086D2E6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C5095"/>
    <w:multiLevelType w:val="hybridMultilevel"/>
    <w:tmpl w:val="760C0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A2773"/>
    <w:multiLevelType w:val="hybridMultilevel"/>
    <w:tmpl w:val="35B4A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75ED8"/>
    <w:multiLevelType w:val="hybridMultilevel"/>
    <w:tmpl w:val="9E662A68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D33FB"/>
    <w:multiLevelType w:val="hybridMultilevel"/>
    <w:tmpl w:val="E2568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4581E"/>
    <w:multiLevelType w:val="hybridMultilevel"/>
    <w:tmpl w:val="7D989D7E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C5C34"/>
    <w:multiLevelType w:val="hybridMultilevel"/>
    <w:tmpl w:val="E33E7018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D57BA"/>
    <w:multiLevelType w:val="hybridMultilevel"/>
    <w:tmpl w:val="A74C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EE4C5A"/>
    <w:multiLevelType w:val="hybridMultilevel"/>
    <w:tmpl w:val="C6428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41EE3"/>
    <w:multiLevelType w:val="hybridMultilevel"/>
    <w:tmpl w:val="F8E87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319E3"/>
    <w:multiLevelType w:val="hybridMultilevel"/>
    <w:tmpl w:val="7EC01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95451"/>
    <w:multiLevelType w:val="hybridMultilevel"/>
    <w:tmpl w:val="F752B0F6"/>
    <w:lvl w:ilvl="0" w:tplc="7A36F5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247FA"/>
    <w:multiLevelType w:val="hybridMultilevel"/>
    <w:tmpl w:val="EF183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447DC"/>
    <w:multiLevelType w:val="hybridMultilevel"/>
    <w:tmpl w:val="19F0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E97C62"/>
    <w:multiLevelType w:val="hybridMultilevel"/>
    <w:tmpl w:val="0480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D661D"/>
    <w:multiLevelType w:val="hybridMultilevel"/>
    <w:tmpl w:val="63901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14D1A"/>
    <w:multiLevelType w:val="hybridMultilevel"/>
    <w:tmpl w:val="271A8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659CC"/>
    <w:multiLevelType w:val="hybridMultilevel"/>
    <w:tmpl w:val="502C1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902F6"/>
    <w:multiLevelType w:val="hybridMultilevel"/>
    <w:tmpl w:val="8266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F72ECA"/>
    <w:multiLevelType w:val="hybridMultilevel"/>
    <w:tmpl w:val="55D43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43D85"/>
    <w:multiLevelType w:val="hybridMultilevel"/>
    <w:tmpl w:val="D5A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C2A62"/>
    <w:multiLevelType w:val="hybridMultilevel"/>
    <w:tmpl w:val="4CD0422A"/>
    <w:lvl w:ilvl="0" w:tplc="7A36F53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A253F"/>
    <w:multiLevelType w:val="hybridMultilevel"/>
    <w:tmpl w:val="559A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74CA7"/>
    <w:multiLevelType w:val="hybridMultilevel"/>
    <w:tmpl w:val="EDE6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31"/>
  </w:num>
  <w:num w:numId="5">
    <w:abstractNumId w:val="18"/>
  </w:num>
  <w:num w:numId="6">
    <w:abstractNumId w:val="25"/>
  </w:num>
  <w:num w:numId="7">
    <w:abstractNumId w:val="15"/>
  </w:num>
  <w:num w:numId="8">
    <w:abstractNumId w:val="27"/>
  </w:num>
  <w:num w:numId="9">
    <w:abstractNumId w:val="17"/>
  </w:num>
  <w:num w:numId="10">
    <w:abstractNumId w:val="30"/>
  </w:num>
  <w:num w:numId="11">
    <w:abstractNumId w:val="20"/>
  </w:num>
  <w:num w:numId="12">
    <w:abstractNumId w:val="4"/>
  </w:num>
  <w:num w:numId="13">
    <w:abstractNumId w:val="9"/>
  </w:num>
  <w:num w:numId="14">
    <w:abstractNumId w:val="2"/>
  </w:num>
  <w:num w:numId="15">
    <w:abstractNumId w:val="26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24"/>
  </w:num>
  <w:num w:numId="22">
    <w:abstractNumId w:val="22"/>
  </w:num>
  <w:num w:numId="23">
    <w:abstractNumId w:val="0"/>
  </w:num>
  <w:num w:numId="24">
    <w:abstractNumId w:val="19"/>
  </w:num>
  <w:num w:numId="25">
    <w:abstractNumId w:val="8"/>
  </w:num>
  <w:num w:numId="26">
    <w:abstractNumId w:val="1"/>
  </w:num>
  <w:num w:numId="27">
    <w:abstractNumId w:val="14"/>
  </w:num>
  <w:num w:numId="28">
    <w:abstractNumId w:val="11"/>
  </w:num>
  <w:num w:numId="29">
    <w:abstractNumId w:val="6"/>
  </w:num>
  <w:num w:numId="30">
    <w:abstractNumId w:val="5"/>
  </w:num>
  <w:num w:numId="31">
    <w:abstractNumId w:val="13"/>
  </w:num>
  <w:num w:numId="3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67"/>
    <w:rsid w:val="00003A55"/>
    <w:rsid w:val="000045EA"/>
    <w:rsid w:val="0000578F"/>
    <w:rsid w:val="00006E36"/>
    <w:rsid w:val="0001194E"/>
    <w:rsid w:val="00011CBB"/>
    <w:rsid w:val="00012672"/>
    <w:rsid w:val="00012BB7"/>
    <w:rsid w:val="0002210D"/>
    <w:rsid w:val="00026260"/>
    <w:rsid w:val="000262B6"/>
    <w:rsid w:val="00026EA4"/>
    <w:rsid w:val="000319DD"/>
    <w:rsid w:val="00033ECC"/>
    <w:rsid w:val="00036A45"/>
    <w:rsid w:val="000427F5"/>
    <w:rsid w:val="00043684"/>
    <w:rsid w:val="00046A09"/>
    <w:rsid w:val="00051D21"/>
    <w:rsid w:val="00052C94"/>
    <w:rsid w:val="00052F47"/>
    <w:rsid w:val="000543D7"/>
    <w:rsid w:val="00057006"/>
    <w:rsid w:val="000604BB"/>
    <w:rsid w:val="00061A03"/>
    <w:rsid w:val="0006342E"/>
    <w:rsid w:val="00067EC6"/>
    <w:rsid w:val="000700EB"/>
    <w:rsid w:val="000711A5"/>
    <w:rsid w:val="0007164F"/>
    <w:rsid w:val="00075539"/>
    <w:rsid w:val="000807C7"/>
    <w:rsid w:val="00081B17"/>
    <w:rsid w:val="0008342C"/>
    <w:rsid w:val="0009086D"/>
    <w:rsid w:val="00091737"/>
    <w:rsid w:val="000A03FA"/>
    <w:rsid w:val="000A1A57"/>
    <w:rsid w:val="000A5CF9"/>
    <w:rsid w:val="000A6AB8"/>
    <w:rsid w:val="000B5F7E"/>
    <w:rsid w:val="000C2AE5"/>
    <w:rsid w:val="000C40A2"/>
    <w:rsid w:val="000C586D"/>
    <w:rsid w:val="000C6B86"/>
    <w:rsid w:val="000C7DFF"/>
    <w:rsid w:val="000C7EAB"/>
    <w:rsid w:val="000D247E"/>
    <w:rsid w:val="000D447A"/>
    <w:rsid w:val="000E27C8"/>
    <w:rsid w:val="000E53B5"/>
    <w:rsid w:val="000F3041"/>
    <w:rsid w:val="000F40FA"/>
    <w:rsid w:val="000F4B4E"/>
    <w:rsid w:val="000F7C9D"/>
    <w:rsid w:val="00106E3A"/>
    <w:rsid w:val="0011254C"/>
    <w:rsid w:val="00121705"/>
    <w:rsid w:val="00123A59"/>
    <w:rsid w:val="00126B77"/>
    <w:rsid w:val="00127DCA"/>
    <w:rsid w:val="00131524"/>
    <w:rsid w:val="00134C7A"/>
    <w:rsid w:val="001356AF"/>
    <w:rsid w:val="00144812"/>
    <w:rsid w:val="00145229"/>
    <w:rsid w:val="00156F8C"/>
    <w:rsid w:val="00161877"/>
    <w:rsid w:val="00162488"/>
    <w:rsid w:val="00163F2D"/>
    <w:rsid w:val="00171037"/>
    <w:rsid w:val="00172FB2"/>
    <w:rsid w:val="00174AB0"/>
    <w:rsid w:val="00175FFE"/>
    <w:rsid w:val="00177BD5"/>
    <w:rsid w:val="00184C24"/>
    <w:rsid w:val="001927DA"/>
    <w:rsid w:val="00193F87"/>
    <w:rsid w:val="001A1A03"/>
    <w:rsid w:val="001A1B9D"/>
    <w:rsid w:val="001A2282"/>
    <w:rsid w:val="001A4036"/>
    <w:rsid w:val="001A489F"/>
    <w:rsid w:val="001A48C3"/>
    <w:rsid w:val="001A4C97"/>
    <w:rsid w:val="001A50B0"/>
    <w:rsid w:val="001B3430"/>
    <w:rsid w:val="001B6090"/>
    <w:rsid w:val="001C63AE"/>
    <w:rsid w:val="001C6DC4"/>
    <w:rsid w:val="001C7C6B"/>
    <w:rsid w:val="001D6C67"/>
    <w:rsid w:val="001E0850"/>
    <w:rsid w:val="001E529F"/>
    <w:rsid w:val="001E71B8"/>
    <w:rsid w:val="001E7912"/>
    <w:rsid w:val="001F4288"/>
    <w:rsid w:val="001F7602"/>
    <w:rsid w:val="00202E14"/>
    <w:rsid w:val="0020526D"/>
    <w:rsid w:val="002075DA"/>
    <w:rsid w:val="00207789"/>
    <w:rsid w:val="00212301"/>
    <w:rsid w:val="00232D51"/>
    <w:rsid w:val="002334F1"/>
    <w:rsid w:val="00234D52"/>
    <w:rsid w:val="00242111"/>
    <w:rsid w:val="00252348"/>
    <w:rsid w:val="00255843"/>
    <w:rsid w:val="00262D30"/>
    <w:rsid w:val="002655E2"/>
    <w:rsid w:val="0026576E"/>
    <w:rsid w:val="002715FE"/>
    <w:rsid w:val="002742FF"/>
    <w:rsid w:val="00275C5D"/>
    <w:rsid w:val="00281E56"/>
    <w:rsid w:val="00291C99"/>
    <w:rsid w:val="00295B99"/>
    <w:rsid w:val="00297B8E"/>
    <w:rsid w:val="002A33A9"/>
    <w:rsid w:val="002A3EA0"/>
    <w:rsid w:val="002A6F5D"/>
    <w:rsid w:val="002A7721"/>
    <w:rsid w:val="002B1964"/>
    <w:rsid w:val="002B3369"/>
    <w:rsid w:val="002B5A89"/>
    <w:rsid w:val="002B5B64"/>
    <w:rsid w:val="002C04CA"/>
    <w:rsid w:val="002C246D"/>
    <w:rsid w:val="002C2584"/>
    <w:rsid w:val="002C465F"/>
    <w:rsid w:val="002C5F70"/>
    <w:rsid w:val="002C6682"/>
    <w:rsid w:val="002C7D84"/>
    <w:rsid w:val="002D2412"/>
    <w:rsid w:val="002D39E9"/>
    <w:rsid w:val="002D3EAA"/>
    <w:rsid w:val="002D3FEE"/>
    <w:rsid w:val="002D49AA"/>
    <w:rsid w:val="002D542B"/>
    <w:rsid w:val="002D5527"/>
    <w:rsid w:val="002D5B73"/>
    <w:rsid w:val="002E106E"/>
    <w:rsid w:val="002E5664"/>
    <w:rsid w:val="002F0E4A"/>
    <w:rsid w:val="002F1143"/>
    <w:rsid w:val="002F1FD9"/>
    <w:rsid w:val="002F2372"/>
    <w:rsid w:val="002F2BF0"/>
    <w:rsid w:val="002F659E"/>
    <w:rsid w:val="00302391"/>
    <w:rsid w:val="00302711"/>
    <w:rsid w:val="003037CC"/>
    <w:rsid w:val="00306666"/>
    <w:rsid w:val="00307DFE"/>
    <w:rsid w:val="0031086E"/>
    <w:rsid w:val="003152A4"/>
    <w:rsid w:val="00315A4C"/>
    <w:rsid w:val="0032049B"/>
    <w:rsid w:val="003307F3"/>
    <w:rsid w:val="00333707"/>
    <w:rsid w:val="0033384E"/>
    <w:rsid w:val="00335EC2"/>
    <w:rsid w:val="00337553"/>
    <w:rsid w:val="003421E8"/>
    <w:rsid w:val="0034325C"/>
    <w:rsid w:val="0035141D"/>
    <w:rsid w:val="00352C92"/>
    <w:rsid w:val="00355549"/>
    <w:rsid w:val="0036297D"/>
    <w:rsid w:val="00363773"/>
    <w:rsid w:val="00363839"/>
    <w:rsid w:val="003654B8"/>
    <w:rsid w:val="00367111"/>
    <w:rsid w:val="00374D28"/>
    <w:rsid w:val="0037650E"/>
    <w:rsid w:val="00380237"/>
    <w:rsid w:val="00380CEA"/>
    <w:rsid w:val="00387ADB"/>
    <w:rsid w:val="00387B6D"/>
    <w:rsid w:val="003963B6"/>
    <w:rsid w:val="00397E97"/>
    <w:rsid w:val="003A49FE"/>
    <w:rsid w:val="003A64CA"/>
    <w:rsid w:val="003A662E"/>
    <w:rsid w:val="003B1AD8"/>
    <w:rsid w:val="003B4677"/>
    <w:rsid w:val="003B4C52"/>
    <w:rsid w:val="003B604B"/>
    <w:rsid w:val="003B75B6"/>
    <w:rsid w:val="003C6648"/>
    <w:rsid w:val="003D0547"/>
    <w:rsid w:val="003D0793"/>
    <w:rsid w:val="003D14D8"/>
    <w:rsid w:val="003D316B"/>
    <w:rsid w:val="003D72EC"/>
    <w:rsid w:val="003E0ECB"/>
    <w:rsid w:val="003E2961"/>
    <w:rsid w:val="003E4FD0"/>
    <w:rsid w:val="003E52B6"/>
    <w:rsid w:val="003E619B"/>
    <w:rsid w:val="003E7240"/>
    <w:rsid w:val="003E72B9"/>
    <w:rsid w:val="003F5066"/>
    <w:rsid w:val="003F5540"/>
    <w:rsid w:val="003F723C"/>
    <w:rsid w:val="004020D7"/>
    <w:rsid w:val="00404DCB"/>
    <w:rsid w:val="00405C00"/>
    <w:rsid w:val="004126D3"/>
    <w:rsid w:val="004172C7"/>
    <w:rsid w:val="00423D04"/>
    <w:rsid w:val="004249C1"/>
    <w:rsid w:val="0042532A"/>
    <w:rsid w:val="00425B58"/>
    <w:rsid w:val="00426355"/>
    <w:rsid w:val="00426778"/>
    <w:rsid w:val="0042685E"/>
    <w:rsid w:val="004334E8"/>
    <w:rsid w:val="00434515"/>
    <w:rsid w:val="004348F0"/>
    <w:rsid w:val="00440B9B"/>
    <w:rsid w:val="0044340A"/>
    <w:rsid w:val="0044552A"/>
    <w:rsid w:val="004458A1"/>
    <w:rsid w:val="0044738F"/>
    <w:rsid w:val="00450166"/>
    <w:rsid w:val="004505FC"/>
    <w:rsid w:val="00453D76"/>
    <w:rsid w:val="00466515"/>
    <w:rsid w:val="004739F8"/>
    <w:rsid w:val="00477C87"/>
    <w:rsid w:val="00483698"/>
    <w:rsid w:val="004856C5"/>
    <w:rsid w:val="0049180D"/>
    <w:rsid w:val="00492C79"/>
    <w:rsid w:val="004954C4"/>
    <w:rsid w:val="00495AC7"/>
    <w:rsid w:val="00496A59"/>
    <w:rsid w:val="00497F67"/>
    <w:rsid w:val="004A4A72"/>
    <w:rsid w:val="004A5B75"/>
    <w:rsid w:val="004B6450"/>
    <w:rsid w:val="004C1EEC"/>
    <w:rsid w:val="004C3537"/>
    <w:rsid w:val="004C3B45"/>
    <w:rsid w:val="004C55B3"/>
    <w:rsid w:val="004C7CF3"/>
    <w:rsid w:val="004C7DE3"/>
    <w:rsid w:val="004D0D22"/>
    <w:rsid w:val="004D3F2B"/>
    <w:rsid w:val="004E0092"/>
    <w:rsid w:val="004E30CB"/>
    <w:rsid w:val="004E6B71"/>
    <w:rsid w:val="004E6D4A"/>
    <w:rsid w:val="004F071C"/>
    <w:rsid w:val="004F2A47"/>
    <w:rsid w:val="004F66D2"/>
    <w:rsid w:val="005001E8"/>
    <w:rsid w:val="00501194"/>
    <w:rsid w:val="00504BD7"/>
    <w:rsid w:val="00507726"/>
    <w:rsid w:val="00511408"/>
    <w:rsid w:val="00512B83"/>
    <w:rsid w:val="0051785B"/>
    <w:rsid w:val="00523D10"/>
    <w:rsid w:val="005243FF"/>
    <w:rsid w:val="00524AE6"/>
    <w:rsid w:val="00531411"/>
    <w:rsid w:val="00535AE9"/>
    <w:rsid w:val="00535D83"/>
    <w:rsid w:val="00540EA0"/>
    <w:rsid w:val="005449D1"/>
    <w:rsid w:val="0054717B"/>
    <w:rsid w:val="00547B1E"/>
    <w:rsid w:val="00553553"/>
    <w:rsid w:val="00557E4F"/>
    <w:rsid w:val="0056137C"/>
    <w:rsid w:val="0056321F"/>
    <w:rsid w:val="0056337F"/>
    <w:rsid w:val="00565405"/>
    <w:rsid w:val="00592FAD"/>
    <w:rsid w:val="00592FFC"/>
    <w:rsid w:val="005953D2"/>
    <w:rsid w:val="005A53EF"/>
    <w:rsid w:val="005A5D8F"/>
    <w:rsid w:val="005A7426"/>
    <w:rsid w:val="005B05B5"/>
    <w:rsid w:val="005B1627"/>
    <w:rsid w:val="005B78BA"/>
    <w:rsid w:val="005C1D98"/>
    <w:rsid w:val="005C526B"/>
    <w:rsid w:val="005C5F5E"/>
    <w:rsid w:val="005C6E9C"/>
    <w:rsid w:val="005E04EF"/>
    <w:rsid w:val="005E61E6"/>
    <w:rsid w:val="005F0035"/>
    <w:rsid w:val="005F2ED3"/>
    <w:rsid w:val="005F4E33"/>
    <w:rsid w:val="005F7DC2"/>
    <w:rsid w:val="006036F6"/>
    <w:rsid w:val="00607767"/>
    <w:rsid w:val="00611951"/>
    <w:rsid w:val="00612827"/>
    <w:rsid w:val="00613C8D"/>
    <w:rsid w:val="00613F57"/>
    <w:rsid w:val="00614ED2"/>
    <w:rsid w:val="00632210"/>
    <w:rsid w:val="00634580"/>
    <w:rsid w:val="00634993"/>
    <w:rsid w:val="006369F2"/>
    <w:rsid w:val="0063732E"/>
    <w:rsid w:val="00646A84"/>
    <w:rsid w:val="006472DD"/>
    <w:rsid w:val="00654E3F"/>
    <w:rsid w:val="00655916"/>
    <w:rsid w:val="00655EDB"/>
    <w:rsid w:val="00655FC6"/>
    <w:rsid w:val="006563E6"/>
    <w:rsid w:val="006574F7"/>
    <w:rsid w:val="00664AF5"/>
    <w:rsid w:val="0066678F"/>
    <w:rsid w:val="006667EA"/>
    <w:rsid w:val="00670314"/>
    <w:rsid w:val="00673818"/>
    <w:rsid w:val="0067479F"/>
    <w:rsid w:val="00675407"/>
    <w:rsid w:val="00676E0C"/>
    <w:rsid w:val="006804E7"/>
    <w:rsid w:val="00681234"/>
    <w:rsid w:val="00683F3C"/>
    <w:rsid w:val="00687F2B"/>
    <w:rsid w:val="0069227C"/>
    <w:rsid w:val="006942AF"/>
    <w:rsid w:val="00694B5A"/>
    <w:rsid w:val="006A0D2C"/>
    <w:rsid w:val="006A0F84"/>
    <w:rsid w:val="006A32A6"/>
    <w:rsid w:val="006A7221"/>
    <w:rsid w:val="006B05BD"/>
    <w:rsid w:val="006B1DC2"/>
    <w:rsid w:val="006B3B99"/>
    <w:rsid w:val="006B6308"/>
    <w:rsid w:val="006C1DD9"/>
    <w:rsid w:val="006C3DF9"/>
    <w:rsid w:val="006C4349"/>
    <w:rsid w:val="006C4EC1"/>
    <w:rsid w:val="006C5349"/>
    <w:rsid w:val="006C728E"/>
    <w:rsid w:val="006D0646"/>
    <w:rsid w:val="006D4CE4"/>
    <w:rsid w:val="006D5138"/>
    <w:rsid w:val="006D6084"/>
    <w:rsid w:val="006D75B7"/>
    <w:rsid w:val="006E0882"/>
    <w:rsid w:val="006E0E66"/>
    <w:rsid w:val="006E23E8"/>
    <w:rsid w:val="006F4F20"/>
    <w:rsid w:val="006F65D2"/>
    <w:rsid w:val="00700796"/>
    <w:rsid w:val="00700CF6"/>
    <w:rsid w:val="00703C03"/>
    <w:rsid w:val="00707A3E"/>
    <w:rsid w:val="00712CE2"/>
    <w:rsid w:val="00717BB5"/>
    <w:rsid w:val="007218AE"/>
    <w:rsid w:val="0072281B"/>
    <w:rsid w:val="007246E4"/>
    <w:rsid w:val="007257B5"/>
    <w:rsid w:val="007278C3"/>
    <w:rsid w:val="007323C2"/>
    <w:rsid w:val="00740EB2"/>
    <w:rsid w:val="00741A7B"/>
    <w:rsid w:val="00750599"/>
    <w:rsid w:val="00752A8B"/>
    <w:rsid w:val="00754137"/>
    <w:rsid w:val="007548B7"/>
    <w:rsid w:val="00756A9A"/>
    <w:rsid w:val="00757CEB"/>
    <w:rsid w:val="00760056"/>
    <w:rsid w:val="00762D20"/>
    <w:rsid w:val="007646A0"/>
    <w:rsid w:val="00764CEC"/>
    <w:rsid w:val="007650CB"/>
    <w:rsid w:val="00765832"/>
    <w:rsid w:val="00777D1C"/>
    <w:rsid w:val="00781221"/>
    <w:rsid w:val="00781FAE"/>
    <w:rsid w:val="00784C3D"/>
    <w:rsid w:val="00786540"/>
    <w:rsid w:val="007867BC"/>
    <w:rsid w:val="0078719F"/>
    <w:rsid w:val="00790896"/>
    <w:rsid w:val="0079687B"/>
    <w:rsid w:val="007A06ED"/>
    <w:rsid w:val="007A1931"/>
    <w:rsid w:val="007A3102"/>
    <w:rsid w:val="007A532B"/>
    <w:rsid w:val="007A7993"/>
    <w:rsid w:val="007B05DF"/>
    <w:rsid w:val="007B4FA9"/>
    <w:rsid w:val="007B7D73"/>
    <w:rsid w:val="007C5058"/>
    <w:rsid w:val="007C664B"/>
    <w:rsid w:val="007D2B3D"/>
    <w:rsid w:val="007D503B"/>
    <w:rsid w:val="007D72B3"/>
    <w:rsid w:val="007E188A"/>
    <w:rsid w:val="007E208C"/>
    <w:rsid w:val="007E4E40"/>
    <w:rsid w:val="007E6895"/>
    <w:rsid w:val="007F1D0E"/>
    <w:rsid w:val="007F38A3"/>
    <w:rsid w:val="007F4051"/>
    <w:rsid w:val="007F4335"/>
    <w:rsid w:val="007F59DC"/>
    <w:rsid w:val="0080310C"/>
    <w:rsid w:val="00810B41"/>
    <w:rsid w:val="008125EA"/>
    <w:rsid w:val="00812DEC"/>
    <w:rsid w:val="008148E2"/>
    <w:rsid w:val="008166AD"/>
    <w:rsid w:val="00840DB4"/>
    <w:rsid w:val="008418C5"/>
    <w:rsid w:val="00841EAC"/>
    <w:rsid w:val="0084374E"/>
    <w:rsid w:val="008457B3"/>
    <w:rsid w:val="00845AB8"/>
    <w:rsid w:val="008466C2"/>
    <w:rsid w:val="008509F4"/>
    <w:rsid w:val="0085476C"/>
    <w:rsid w:val="008558E1"/>
    <w:rsid w:val="0085596D"/>
    <w:rsid w:val="00860C28"/>
    <w:rsid w:val="00862737"/>
    <w:rsid w:val="008629A7"/>
    <w:rsid w:val="00863349"/>
    <w:rsid w:val="008638DF"/>
    <w:rsid w:val="0086785F"/>
    <w:rsid w:val="00867ECD"/>
    <w:rsid w:val="00870632"/>
    <w:rsid w:val="00880E25"/>
    <w:rsid w:val="008829DE"/>
    <w:rsid w:val="00884473"/>
    <w:rsid w:val="00887D6D"/>
    <w:rsid w:val="00887E67"/>
    <w:rsid w:val="00892305"/>
    <w:rsid w:val="008934FD"/>
    <w:rsid w:val="00893741"/>
    <w:rsid w:val="0089390E"/>
    <w:rsid w:val="0089510F"/>
    <w:rsid w:val="00897F35"/>
    <w:rsid w:val="008A3F0C"/>
    <w:rsid w:val="008A461C"/>
    <w:rsid w:val="008A52BA"/>
    <w:rsid w:val="008A5AFC"/>
    <w:rsid w:val="008A5B54"/>
    <w:rsid w:val="008A6077"/>
    <w:rsid w:val="008A6FD8"/>
    <w:rsid w:val="008B2211"/>
    <w:rsid w:val="008B683F"/>
    <w:rsid w:val="008C1AB9"/>
    <w:rsid w:val="008C1FB8"/>
    <w:rsid w:val="008C242D"/>
    <w:rsid w:val="008C32B5"/>
    <w:rsid w:val="008C32C1"/>
    <w:rsid w:val="008C4822"/>
    <w:rsid w:val="008C69E2"/>
    <w:rsid w:val="008C76EE"/>
    <w:rsid w:val="008D1E9C"/>
    <w:rsid w:val="008E019F"/>
    <w:rsid w:val="008E1342"/>
    <w:rsid w:val="008F171B"/>
    <w:rsid w:val="008F1E2D"/>
    <w:rsid w:val="008F2307"/>
    <w:rsid w:val="008F2444"/>
    <w:rsid w:val="008F324A"/>
    <w:rsid w:val="008F5424"/>
    <w:rsid w:val="008F6CEB"/>
    <w:rsid w:val="008F723C"/>
    <w:rsid w:val="009019A2"/>
    <w:rsid w:val="00905617"/>
    <w:rsid w:val="00910E49"/>
    <w:rsid w:val="0091188F"/>
    <w:rsid w:val="009122ED"/>
    <w:rsid w:val="00912DF9"/>
    <w:rsid w:val="00915D6B"/>
    <w:rsid w:val="0091619C"/>
    <w:rsid w:val="00916658"/>
    <w:rsid w:val="0092480C"/>
    <w:rsid w:val="0092505B"/>
    <w:rsid w:val="00933BC0"/>
    <w:rsid w:val="00935298"/>
    <w:rsid w:val="009356FD"/>
    <w:rsid w:val="009409B1"/>
    <w:rsid w:val="00943D03"/>
    <w:rsid w:val="00943D71"/>
    <w:rsid w:val="00944684"/>
    <w:rsid w:val="00950388"/>
    <w:rsid w:val="00955C78"/>
    <w:rsid w:val="00956CB9"/>
    <w:rsid w:val="00957123"/>
    <w:rsid w:val="009619D7"/>
    <w:rsid w:val="00962D44"/>
    <w:rsid w:val="00963673"/>
    <w:rsid w:val="009657D5"/>
    <w:rsid w:val="00967683"/>
    <w:rsid w:val="00970FE4"/>
    <w:rsid w:val="00972A5E"/>
    <w:rsid w:val="00972B10"/>
    <w:rsid w:val="00973DEC"/>
    <w:rsid w:val="009741B8"/>
    <w:rsid w:val="00976A8B"/>
    <w:rsid w:val="00982A25"/>
    <w:rsid w:val="00983FE0"/>
    <w:rsid w:val="00987F18"/>
    <w:rsid w:val="009913AB"/>
    <w:rsid w:val="0099180F"/>
    <w:rsid w:val="00992A20"/>
    <w:rsid w:val="009A10D2"/>
    <w:rsid w:val="009A13B2"/>
    <w:rsid w:val="009B189F"/>
    <w:rsid w:val="009B4CBB"/>
    <w:rsid w:val="009B5CD3"/>
    <w:rsid w:val="009B77F3"/>
    <w:rsid w:val="009B7A10"/>
    <w:rsid w:val="009C331E"/>
    <w:rsid w:val="009C33D0"/>
    <w:rsid w:val="009C3CCA"/>
    <w:rsid w:val="009C509D"/>
    <w:rsid w:val="009C68AE"/>
    <w:rsid w:val="009D25EA"/>
    <w:rsid w:val="009D4D45"/>
    <w:rsid w:val="009E1D9D"/>
    <w:rsid w:val="009E386E"/>
    <w:rsid w:val="009E38A1"/>
    <w:rsid w:val="009F0A35"/>
    <w:rsid w:val="009F1713"/>
    <w:rsid w:val="009F2D88"/>
    <w:rsid w:val="00A01F89"/>
    <w:rsid w:val="00A032D7"/>
    <w:rsid w:val="00A11477"/>
    <w:rsid w:val="00A16EC0"/>
    <w:rsid w:val="00A2072A"/>
    <w:rsid w:val="00A22CF6"/>
    <w:rsid w:val="00A232A3"/>
    <w:rsid w:val="00A37F19"/>
    <w:rsid w:val="00A37FA4"/>
    <w:rsid w:val="00A40957"/>
    <w:rsid w:val="00A40A3C"/>
    <w:rsid w:val="00A40E0A"/>
    <w:rsid w:val="00A4251C"/>
    <w:rsid w:val="00A464B7"/>
    <w:rsid w:val="00A46F16"/>
    <w:rsid w:val="00A47C07"/>
    <w:rsid w:val="00A53A1D"/>
    <w:rsid w:val="00A53F26"/>
    <w:rsid w:val="00A53F50"/>
    <w:rsid w:val="00A615EB"/>
    <w:rsid w:val="00A625E1"/>
    <w:rsid w:val="00A6549C"/>
    <w:rsid w:val="00A71011"/>
    <w:rsid w:val="00A756F2"/>
    <w:rsid w:val="00A76DBE"/>
    <w:rsid w:val="00A86E75"/>
    <w:rsid w:val="00A87460"/>
    <w:rsid w:val="00A87BD2"/>
    <w:rsid w:val="00A93380"/>
    <w:rsid w:val="00A972EB"/>
    <w:rsid w:val="00AA1F12"/>
    <w:rsid w:val="00AA2F66"/>
    <w:rsid w:val="00AA3D6E"/>
    <w:rsid w:val="00AA4CEF"/>
    <w:rsid w:val="00AA4D71"/>
    <w:rsid w:val="00AB1BF6"/>
    <w:rsid w:val="00AB24EB"/>
    <w:rsid w:val="00AC0563"/>
    <w:rsid w:val="00AC0FE7"/>
    <w:rsid w:val="00AC1FFE"/>
    <w:rsid w:val="00AC20B9"/>
    <w:rsid w:val="00AC3A67"/>
    <w:rsid w:val="00AD0B19"/>
    <w:rsid w:val="00AD2AE2"/>
    <w:rsid w:val="00AD6B76"/>
    <w:rsid w:val="00AD7C5C"/>
    <w:rsid w:val="00AE00D7"/>
    <w:rsid w:val="00AE7E68"/>
    <w:rsid w:val="00AF06B6"/>
    <w:rsid w:val="00AF1857"/>
    <w:rsid w:val="00AF2152"/>
    <w:rsid w:val="00AF2421"/>
    <w:rsid w:val="00AF3DEC"/>
    <w:rsid w:val="00AF6124"/>
    <w:rsid w:val="00B0090C"/>
    <w:rsid w:val="00B03407"/>
    <w:rsid w:val="00B06C30"/>
    <w:rsid w:val="00B10E0E"/>
    <w:rsid w:val="00B10FAA"/>
    <w:rsid w:val="00B11083"/>
    <w:rsid w:val="00B142E5"/>
    <w:rsid w:val="00B166DA"/>
    <w:rsid w:val="00B1737F"/>
    <w:rsid w:val="00B203F4"/>
    <w:rsid w:val="00B20B2C"/>
    <w:rsid w:val="00B23098"/>
    <w:rsid w:val="00B2657F"/>
    <w:rsid w:val="00B272A3"/>
    <w:rsid w:val="00B30DD0"/>
    <w:rsid w:val="00B3153D"/>
    <w:rsid w:val="00B33415"/>
    <w:rsid w:val="00B37180"/>
    <w:rsid w:val="00B37472"/>
    <w:rsid w:val="00B40242"/>
    <w:rsid w:val="00B40BE0"/>
    <w:rsid w:val="00B42853"/>
    <w:rsid w:val="00B42B89"/>
    <w:rsid w:val="00B446A6"/>
    <w:rsid w:val="00B46545"/>
    <w:rsid w:val="00B4670A"/>
    <w:rsid w:val="00B50440"/>
    <w:rsid w:val="00B509CF"/>
    <w:rsid w:val="00B56C1F"/>
    <w:rsid w:val="00B60642"/>
    <w:rsid w:val="00B60955"/>
    <w:rsid w:val="00B62F3A"/>
    <w:rsid w:val="00B62F57"/>
    <w:rsid w:val="00B6449F"/>
    <w:rsid w:val="00B70C4F"/>
    <w:rsid w:val="00B71196"/>
    <w:rsid w:val="00B72013"/>
    <w:rsid w:val="00B748C6"/>
    <w:rsid w:val="00B756B7"/>
    <w:rsid w:val="00B75EBE"/>
    <w:rsid w:val="00B81799"/>
    <w:rsid w:val="00B8498C"/>
    <w:rsid w:val="00B84AFF"/>
    <w:rsid w:val="00B87F39"/>
    <w:rsid w:val="00B905BD"/>
    <w:rsid w:val="00BC2CF3"/>
    <w:rsid w:val="00BC4378"/>
    <w:rsid w:val="00BC66EA"/>
    <w:rsid w:val="00BD0C17"/>
    <w:rsid w:val="00BD4843"/>
    <w:rsid w:val="00BD60E7"/>
    <w:rsid w:val="00BD6510"/>
    <w:rsid w:val="00BD7529"/>
    <w:rsid w:val="00BE2987"/>
    <w:rsid w:val="00BE5094"/>
    <w:rsid w:val="00BF28DE"/>
    <w:rsid w:val="00C00F20"/>
    <w:rsid w:val="00C026CC"/>
    <w:rsid w:val="00C0315B"/>
    <w:rsid w:val="00C05A89"/>
    <w:rsid w:val="00C077DB"/>
    <w:rsid w:val="00C1758F"/>
    <w:rsid w:val="00C2031D"/>
    <w:rsid w:val="00C244D3"/>
    <w:rsid w:val="00C24675"/>
    <w:rsid w:val="00C27ACE"/>
    <w:rsid w:val="00C3081E"/>
    <w:rsid w:val="00C35DC1"/>
    <w:rsid w:val="00C41CCD"/>
    <w:rsid w:val="00C44679"/>
    <w:rsid w:val="00C5081A"/>
    <w:rsid w:val="00C5182E"/>
    <w:rsid w:val="00C5231C"/>
    <w:rsid w:val="00C54B76"/>
    <w:rsid w:val="00C57126"/>
    <w:rsid w:val="00C6060D"/>
    <w:rsid w:val="00C62F56"/>
    <w:rsid w:val="00C64207"/>
    <w:rsid w:val="00C64988"/>
    <w:rsid w:val="00C651EC"/>
    <w:rsid w:val="00C700D1"/>
    <w:rsid w:val="00C718DF"/>
    <w:rsid w:val="00C725ED"/>
    <w:rsid w:val="00C7450B"/>
    <w:rsid w:val="00C74968"/>
    <w:rsid w:val="00C82F94"/>
    <w:rsid w:val="00C83DBE"/>
    <w:rsid w:val="00C85007"/>
    <w:rsid w:val="00C854B5"/>
    <w:rsid w:val="00C87ACD"/>
    <w:rsid w:val="00C97DBA"/>
    <w:rsid w:val="00CA1498"/>
    <w:rsid w:val="00CA38F9"/>
    <w:rsid w:val="00CA3C6E"/>
    <w:rsid w:val="00CA3DA5"/>
    <w:rsid w:val="00CA4F56"/>
    <w:rsid w:val="00CA5503"/>
    <w:rsid w:val="00CB0981"/>
    <w:rsid w:val="00CB22EE"/>
    <w:rsid w:val="00CB244A"/>
    <w:rsid w:val="00CB2E54"/>
    <w:rsid w:val="00CB3767"/>
    <w:rsid w:val="00CB3976"/>
    <w:rsid w:val="00CB4A2B"/>
    <w:rsid w:val="00CB569F"/>
    <w:rsid w:val="00CB7E6E"/>
    <w:rsid w:val="00CC1C0C"/>
    <w:rsid w:val="00CC1D36"/>
    <w:rsid w:val="00CC7450"/>
    <w:rsid w:val="00CD08CC"/>
    <w:rsid w:val="00CD7D32"/>
    <w:rsid w:val="00CE1010"/>
    <w:rsid w:val="00CF0A38"/>
    <w:rsid w:val="00CF2939"/>
    <w:rsid w:val="00CF5841"/>
    <w:rsid w:val="00CF6E80"/>
    <w:rsid w:val="00D01C9A"/>
    <w:rsid w:val="00D02A46"/>
    <w:rsid w:val="00D02BEF"/>
    <w:rsid w:val="00D044C4"/>
    <w:rsid w:val="00D04651"/>
    <w:rsid w:val="00D0484D"/>
    <w:rsid w:val="00D11D99"/>
    <w:rsid w:val="00D1467F"/>
    <w:rsid w:val="00D20BFA"/>
    <w:rsid w:val="00D2479F"/>
    <w:rsid w:val="00D25360"/>
    <w:rsid w:val="00D34B4B"/>
    <w:rsid w:val="00D34E66"/>
    <w:rsid w:val="00D35152"/>
    <w:rsid w:val="00D351D7"/>
    <w:rsid w:val="00D354C0"/>
    <w:rsid w:val="00D412FE"/>
    <w:rsid w:val="00D425F0"/>
    <w:rsid w:val="00D4591F"/>
    <w:rsid w:val="00D4625D"/>
    <w:rsid w:val="00D473C1"/>
    <w:rsid w:val="00D52973"/>
    <w:rsid w:val="00D52A9D"/>
    <w:rsid w:val="00D574C7"/>
    <w:rsid w:val="00D57B21"/>
    <w:rsid w:val="00D614C5"/>
    <w:rsid w:val="00D61A55"/>
    <w:rsid w:val="00D6408D"/>
    <w:rsid w:val="00D643EF"/>
    <w:rsid w:val="00D661DF"/>
    <w:rsid w:val="00D72B04"/>
    <w:rsid w:val="00D730FC"/>
    <w:rsid w:val="00D75EBF"/>
    <w:rsid w:val="00D80974"/>
    <w:rsid w:val="00D854B0"/>
    <w:rsid w:val="00D915F8"/>
    <w:rsid w:val="00D93CE7"/>
    <w:rsid w:val="00D9443A"/>
    <w:rsid w:val="00D94AAF"/>
    <w:rsid w:val="00D96547"/>
    <w:rsid w:val="00D974F1"/>
    <w:rsid w:val="00DA025D"/>
    <w:rsid w:val="00DA3F2D"/>
    <w:rsid w:val="00DA6216"/>
    <w:rsid w:val="00DB04B8"/>
    <w:rsid w:val="00DB17F1"/>
    <w:rsid w:val="00DB2304"/>
    <w:rsid w:val="00DB2D65"/>
    <w:rsid w:val="00DB3343"/>
    <w:rsid w:val="00DB6B87"/>
    <w:rsid w:val="00DC09B6"/>
    <w:rsid w:val="00DC14D0"/>
    <w:rsid w:val="00DC419C"/>
    <w:rsid w:val="00DD0EC2"/>
    <w:rsid w:val="00DD2084"/>
    <w:rsid w:val="00DD3232"/>
    <w:rsid w:val="00DE1DFE"/>
    <w:rsid w:val="00DE791B"/>
    <w:rsid w:val="00DF04FB"/>
    <w:rsid w:val="00DF150C"/>
    <w:rsid w:val="00DF1B21"/>
    <w:rsid w:val="00DF411C"/>
    <w:rsid w:val="00DF7443"/>
    <w:rsid w:val="00E00D48"/>
    <w:rsid w:val="00E012F5"/>
    <w:rsid w:val="00E03648"/>
    <w:rsid w:val="00E0375A"/>
    <w:rsid w:val="00E04A8E"/>
    <w:rsid w:val="00E11159"/>
    <w:rsid w:val="00E12DF1"/>
    <w:rsid w:val="00E21612"/>
    <w:rsid w:val="00E25B7C"/>
    <w:rsid w:val="00E27CEC"/>
    <w:rsid w:val="00E30FBA"/>
    <w:rsid w:val="00E3179C"/>
    <w:rsid w:val="00E376C2"/>
    <w:rsid w:val="00E40724"/>
    <w:rsid w:val="00E409F8"/>
    <w:rsid w:val="00E41930"/>
    <w:rsid w:val="00E43E48"/>
    <w:rsid w:val="00E50884"/>
    <w:rsid w:val="00E51D7C"/>
    <w:rsid w:val="00E520F7"/>
    <w:rsid w:val="00E56590"/>
    <w:rsid w:val="00E612BB"/>
    <w:rsid w:val="00E61A0F"/>
    <w:rsid w:val="00E61BA8"/>
    <w:rsid w:val="00E62924"/>
    <w:rsid w:val="00E630E7"/>
    <w:rsid w:val="00E63AD7"/>
    <w:rsid w:val="00E71A40"/>
    <w:rsid w:val="00E72AA2"/>
    <w:rsid w:val="00E72D4B"/>
    <w:rsid w:val="00E737BB"/>
    <w:rsid w:val="00E75B88"/>
    <w:rsid w:val="00E77DD5"/>
    <w:rsid w:val="00E804B3"/>
    <w:rsid w:val="00E8122C"/>
    <w:rsid w:val="00E816B5"/>
    <w:rsid w:val="00E84BAB"/>
    <w:rsid w:val="00E94053"/>
    <w:rsid w:val="00E950DA"/>
    <w:rsid w:val="00E96D21"/>
    <w:rsid w:val="00EA1E9F"/>
    <w:rsid w:val="00EA2576"/>
    <w:rsid w:val="00EA6B23"/>
    <w:rsid w:val="00EA7539"/>
    <w:rsid w:val="00EB424C"/>
    <w:rsid w:val="00EC032B"/>
    <w:rsid w:val="00EC092E"/>
    <w:rsid w:val="00EC20DD"/>
    <w:rsid w:val="00EC2BBB"/>
    <w:rsid w:val="00EC2E0B"/>
    <w:rsid w:val="00EC2FDE"/>
    <w:rsid w:val="00EC33C5"/>
    <w:rsid w:val="00EC5777"/>
    <w:rsid w:val="00ED0663"/>
    <w:rsid w:val="00ED2E6F"/>
    <w:rsid w:val="00ED68B4"/>
    <w:rsid w:val="00EE2883"/>
    <w:rsid w:val="00EE4522"/>
    <w:rsid w:val="00EE47B7"/>
    <w:rsid w:val="00EF171E"/>
    <w:rsid w:val="00EF359A"/>
    <w:rsid w:val="00EF39A3"/>
    <w:rsid w:val="00F00C12"/>
    <w:rsid w:val="00F02025"/>
    <w:rsid w:val="00F0334D"/>
    <w:rsid w:val="00F03DEF"/>
    <w:rsid w:val="00F043B2"/>
    <w:rsid w:val="00F1005C"/>
    <w:rsid w:val="00F129A5"/>
    <w:rsid w:val="00F145CE"/>
    <w:rsid w:val="00F166C3"/>
    <w:rsid w:val="00F24059"/>
    <w:rsid w:val="00F25DCE"/>
    <w:rsid w:val="00F26590"/>
    <w:rsid w:val="00F31CF1"/>
    <w:rsid w:val="00F344B0"/>
    <w:rsid w:val="00F34546"/>
    <w:rsid w:val="00F36EDB"/>
    <w:rsid w:val="00F37013"/>
    <w:rsid w:val="00F37076"/>
    <w:rsid w:val="00F47651"/>
    <w:rsid w:val="00F514A2"/>
    <w:rsid w:val="00F52131"/>
    <w:rsid w:val="00F52C9C"/>
    <w:rsid w:val="00F52CC8"/>
    <w:rsid w:val="00F540BF"/>
    <w:rsid w:val="00F62419"/>
    <w:rsid w:val="00F63DCD"/>
    <w:rsid w:val="00F642EC"/>
    <w:rsid w:val="00F64EF1"/>
    <w:rsid w:val="00F70AF4"/>
    <w:rsid w:val="00F74BD1"/>
    <w:rsid w:val="00F74C3E"/>
    <w:rsid w:val="00F85107"/>
    <w:rsid w:val="00F86C55"/>
    <w:rsid w:val="00F87A56"/>
    <w:rsid w:val="00F97441"/>
    <w:rsid w:val="00FA138B"/>
    <w:rsid w:val="00FA18D0"/>
    <w:rsid w:val="00FA6206"/>
    <w:rsid w:val="00FB0BE9"/>
    <w:rsid w:val="00FB454A"/>
    <w:rsid w:val="00FB6DA5"/>
    <w:rsid w:val="00FC08F4"/>
    <w:rsid w:val="00FC0AC0"/>
    <w:rsid w:val="00FC60BB"/>
    <w:rsid w:val="00FC7D80"/>
    <w:rsid w:val="00FD1AFC"/>
    <w:rsid w:val="00FD1CDD"/>
    <w:rsid w:val="00FD377F"/>
    <w:rsid w:val="00FD67D3"/>
    <w:rsid w:val="00FE24AF"/>
    <w:rsid w:val="00FE2F95"/>
    <w:rsid w:val="00FE3880"/>
    <w:rsid w:val="00FE4861"/>
    <w:rsid w:val="00FE5E01"/>
    <w:rsid w:val="00FE75FB"/>
    <w:rsid w:val="00FF1582"/>
    <w:rsid w:val="00FF276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10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08D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PBody">
    <w:name w:val="MHP Body"/>
    <w:basedOn w:val="Normal"/>
    <w:rsid w:val="00D6408D"/>
    <w:rPr>
      <w:rFonts w:ascii="Times New Roman" w:eastAsia="Times New Roman" w:hAnsi="Times New Roman" w:cs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B4C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EDB"/>
    <w:pPr>
      <w:ind w:left="720"/>
      <w:contextualSpacing/>
    </w:pPr>
  </w:style>
  <w:style w:type="paragraph" w:customStyle="1" w:styleId="p1">
    <w:name w:val="p1"/>
    <w:basedOn w:val="Normal"/>
    <w:rsid w:val="00FF59F1"/>
    <w:pPr>
      <w:ind w:left="60" w:hanging="60"/>
    </w:pPr>
    <w:rPr>
      <w:rFonts w:ascii="Monaco" w:hAnsi="Monaco" w:cs="Times New Roman"/>
      <w:sz w:val="17"/>
      <w:szCs w:val="17"/>
    </w:rPr>
  </w:style>
  <w:style w:type="character" w:customStyle="1" w:styleId="s1">
    <w:name w:val="s1"/>
    <w:basedOn w:val="DefaultParagraphFont"/>
    <w:rsid w:val="00FF59F1"/>
    <w:rPr>
      <w:color w:val="061A99"/>
    </w:rPr>
  </w:style>
  <w:style w:type="character" w:customStyle="1" w:styleId="s2">
    <w:name w:val="s2"/>
    <w:basedOn w:val="DefaultParagraphFont"/>
    <w:rsid w:val="00FF59F1"/>
    <w:rPr>
      <w:color w:val="B01600"/>
    </w:rPr>
  </w:style>
  <w:style w:type="character" w:customStyle="1" w:styleId="s3">
    <w:name w:val="s3"/>
    <w:basedOn w:val="DefaultParagraphFont"/>
    <w:rsid w:val="00FF59F1"/>
    <w:rPr>
      <w:color w:val="045218"/>
    </w:rPr>
  </w:style>
  <w:style w:type="character" w:styleId="CommentReference">
    <w:name w:val="annotation reference"/>
    <w:basedOn w:val="DefaultParagraphFont"/>
    <w:uiPriority w:val="99"/>
    <w:semiHidden/>
    <w:unhideWhenUsed/>
    <w:rsid w:val="00970F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E4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1C63AE"/>
    <w:pPr>
      <w:ind w:left="60" w:hanging="60"/>
    </w:pPr>
    <w:rPr>
      <w:rFonts w:ascii="Monaco" w:hAnsi="Monaco" w:cs="Times New Roman"/>
      <w:color w:val="061A99"/>
      <w:sz w:val="17"/>
      <w:szCs w:val="17"/>
    </w:rPr>
  </w:style>
  <w:style w:type="character" w:customStyle="1" w:styleId="apple-converted-space">
    <w:name w:val="apple-converted-space"/>
    <w:basedOn w:val="DefaultParagraphFont"/>
    <w:rsid w:val="001C63AE"/>
  </w:style>
  <w:style w:type="paragraph" w:styleId="NormalWeb">
    <w:name w:val="Normal (Web)"/>
    <w:basedOn w:val="Normal"/>
    <w:uiPriority w:val="99"/>
    <w:semiHidden/>
    <w:unhideWhenUsed/>
    <w:rsid w:val="0044552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62F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3"/>
  </w:style>
  <w:style w:type="paragraph" w:styleId="Footer">
    <w:name w:val="footer"/>
    <w:basedOn w:val="Normal"/>
    <w:link w:val="FooterChar"/>
    <w:uiPriority w:val="99"/>
    <w:unhideWhenUsed/>
    <w:rsid w:val="00703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Moss</dc:creator>
  <cp:keywords/>
  <dc:description/>
  <cp:lastModifiedBy>Simon Moss</cp:lastModifiedBy>
  <cp:revision>96</cp:revision>
  <dcterms:created xsi:type="dcterms:W3CDTF">2018-12-29T01:00:00Z</dcterms:created>
  <dcterms:modified xsi:type="dcterms:W3CDTF">2020-07-02T02:16:00Z</dcterms:modified>
</cp:coreProperties>
</file>