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A602" w14:textId="77777777" w:rsidR="004C017A" w:rsidRPr="000E1EAF"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F469BD">
      <w:pPr>
        <w:spacing w:line="276" w:lineRule="auto"/>
        <w:ind w:left="1985"/>
        <w:rPr>
          <w:rFonts w:asciiTheme="majorHAnsi" w:hAnsiTheme="majorHAnsi" w:cs="Arial"/>
          <w:b/>
          <w:noProof/>
          <w:color w:val="000000" w:themeColor="text1"/>
          <w:sz w:val="22"/>
          <w:szCs w:val="22"/>
        </w:rPr>
      </w:pPr>
    </w:p>
    <w:p w14:paraId="5E58C637" w14:textId="5D1EC521" w:rsidR="003D405B" w:rsidRDefault="00B91103" w:rsidP="00B91103">
      <w:pPr>
        <w:spacing w:line="276" w:lineRule="auto"/>
        <w:ind w:left="1985"/>
        <w:jc w:val="center"/>
        <w:rPr>
          <w:rFonts w:asciiTheme="majorHAnsi" w:hAnsiTheme="majorHAnsi" w:cs="Arial"/>
          <w:b/>
          <w:noProof/>
          <w:color w:val="000000" w:themeColor="text1"/>
          <w:sz w:val="22"/>
          <w:szCs w:val="22"/>
        </w:rPr>
      </w:pPr>
      <w:r w:rsidRPr="00B91103">
        <w:rPr>
          <w:rFonts w:asciiTheme="majorHAnsi" w:hAnsiTheme="majorHAnsi" w:cs="Arial"/>
          <w:b/>
          <w:noProof/>
          <w:color w:val="000000" w:themeColor="text1"/>
          <w:sz w:val="22"/>
          <w:szCs w:val="22"/>
        </w:rPr>
        <w:t>THE FEATURES OF EXCELLENT QUALITATIVE RESEARCH</w:t>
      </w:r>
    </w:p>
    <w:p w14:paraId="0EB91615" w14:textId="77777777" w:rsidR="003D405B" w:rsidRPr="000E1EAF" w:rsidRDefault="003D405B"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0E1EAF" w14:paraId="391AC99E" w14:textId="77777777" w:rsidTr="002472C4">
        <w:trPr>
          <w:trHeight w:val="313"/>
        </w:trPr>
        <w:tc>
          <w:tcPr>
            <w:tcW w:w="8188" w:type="dxa"/>
            <w:shd w:val="clear" w:color="auto" w:fill="B6DDE8" w:themeFill="accent5" w:themeFillTint="66"/>
          </w:tcPr>
          <w:p w14:paraId="451B0850" w14:textId="77777777" w:rsidR="004E4EA8" w:rsidRPr="000E1EAF" w:rsidRDefault="004E4EA8"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53B58318" w14:textId="77777777" w:rsidR="004E4EA8" w:rsidRDefault="004E4EA8" w:rsidP="00F469BD">
      <w:pPr>
        <w:spacing w:line="276" w:lineRule="auto"/>
        <w:ind w:left="1985"/>
        <w:rPr>
          <w:rFonts w:asciiTheme="majorHAnsi" w:hAnsiTheme="majorHAnsi" w:cs="Arial"/>
          <w:noProof/>
          <w:color w:val="000000" w:themeColor="text1"/>
          <w:sz w:val="22"/>
          <w:szCs w:val="22"/>
        </w:rPr>
      </w:pPr>
    </w:p>
    <w:p w14:paraId="683FBEF2" w14:textId="77777777" w:rsidR="00FB1608" w:rsidRDefault="00B91103" w:rsidP="00FB1608">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When </w:t>
      </w:r>
      <w:r w:rsidR="00FB1608">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conduct qualitative research, they are often unsure how to improve their work.  What practices difference excellent qualitative research from ordinary qualitative research?  What criteria do reviewers or examiners apply to evaluate qualitative research?  </w:t>
      </w:r>
      <w:r w:rsidR="00FB1608">
        <w:rPr>
          <w:rFonts w:asciiTheme="majorHAnsi" w:hAnsiTheme="majorHAnsi" w:cs="Arial"/>
          <w:noProof/>
          <w:color w:val="000000" w:themeColor="text1"/>
          <w:sz w:val="22"/>
          <w:szCs w:val="22"/>
        </w:rPr>
        <w:t xml:space="preserve">This document is designed to assist both candidates and supervisors.  </w:t>
      </w:r>
    </w:p>
    <w:p w14:paraId="72174F7B" w14:textId="77777777" w:rsidR="00FB1608" w:rsidRDefault="00FB1608" w:rsidP="00FB1608">
      <w:pPr>
        <w:spacing w:line="276" w:lineRule="auto"/>
        <w:ind w:left="1985"/>
        <w:rPr>
          <w:rFonts w:asciiTheme="majorHAnsi" w:hAnsiTheme="majorHAnsi" w:cs="Arial"/>
          <w:noProof/>
          <w:color w:val="000000" w:themeColor="text1"/>
          <w:sz w:val="22"/>
          <w:szCs w:val="22"/>
        </w:rPr>
      </w:pPr>
    </w:p>
    <w:p w14:paraId="582C6EA1" w14:textId="132003C2" w:rsidR="00FB1608" w:rsidRPr="00FB1608" w:rsidRDefault="00FB1608" w:rsidP="00FB1608">
      <w:pPr>
        <w:spacing w:line="276" w:lineRule="auto"/>
        <w:ind w:left="1985"/>
        <w:rPr>
          <w:rFonts w:asciiTheme="majorHAnsi" w:hAnsiTheme="majorHAnsi" w:cs="Arial"/>
          <w:b/>
          <w:bCs/>
          <w:noProof/>
          <w:color w:val="000000" w:themeColor="text1"/>
          <w:sz w:val="22"/>
          <w:szCs w:val="22"/>
        </w:rPr>
      </w:pPr>
      <w:r>
        <w:rPr>
          <w:rFonts w:asciiTheme="majorHAnsi" w:hAnsiTheme="majorHAnsi" w:cs="Arial"/>
          <w:b/>
          <w:bCs/>
          <w:noProof/>
          <w:color w:val="000000" w:themeColor="text1"/>
          <w:sz w:val="22"/>
          <w:szCs w:val="22"/>
        </w:rPr>
        <w:t>Advice to candidates</w:t>
      </w:r>
    </w:p>
    <w:p w14:paraId="13C3C279" w14:textId="77777777" w:rsidR="00FB1608" w:rsidRDefault="00FB1608" w:rsidP="00FB1608">
      <w:pPr>
        <w:spacing w:line="276" w:lineRule="auto"/>
        <w:ind w:left="1985"/>
        <w:rPr>
          <w:rFonts w:asciiTheme="majorHAnsi" w:hAnsiTheme="majorHAnsi" w:cs="Arial"/>
          <w:noProof/>
          <w:color w:val="000000" w:themeColor="text1"/>
          <w:sz w:val="22"/>
          <w:szCs w:val="22"/>
        </w:rPr>
      </w:pPr>
    </w:p>
    <w:p w14:paraId="670482A3" w14:textId="37B06FF2" w:rsidR="00FB1608" w:rsidRDefault="00FB1608" w:rsidP="00FB1608">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Candidates should read the first section, called an inventory of practices.  In particular, candidates, and indeed all qualitative researchers, should be cognisant of all the techniques that are intended to improve the quality or trustworthineses of qualitative research.</w:t>
      </w:r>
    </w:p>
    <w:p w14:paraId="0F47279A" w14:textId="3B4F8827" w:rsidR="00FB1608" w:rsidRDefault="00FB1608" w:rsidP="00F469BD">
      <w:pPr>
        <w:spacing w:line="276" w:lineRule="auto"/>
        <w:ind w:left="1985"/>
        <w:rPr>
          <w:rFonts w:asciiTheme="majorHAnsi" w:hAnsiTheme="majorHAnsi" w:cs="Arial"/>
          <w:noProof/>
          <w:color w:val="000000" w:themeColor="text1"/>
          <w:sz w:val="22"/>
          <w:szCs w:val="22"/>
        </w:rPr>
      </w:pPr>
    </w:p>
    <w:p w14:paraId="75270D31" w14:textId="331FC9BA" w:rsidR="00FB1608" w:rsidRPr="00FB1608" w:rsidRDefault="00FB1608" w:rsidP="00F469BD">
      <w:pPr>
        <w:spacing w:line="276" w:lineRule="auto"/>
        <w:ind w:left="1985"/>
        <w:rPr>
          <w:rFonts w:asciiTheme="majorHAnsi" w:hAnsiTheme="majorHAnsi" w:cs="Arial"/>
          <w:b/>
          <w:bCs/>
          <w:noProof/>
          <w:color w:val="000000" w:themeColor="text1"/>
          <w:sz w:val="22"/>
          <w:szCs w:val="22"/>
        </w:rPr>
      </w:pPr>
      <w:r>
        <w:rPr>
          <w:rFonts w:asciiTheme="majorHAnsi" w:hAnsiTheme="majorHAnsi" w:cs="Arial"/>
          <w:b/>
          <w:bCs/>
          <w:noProof/>
          <w:color w:val="000000" w:themeColor="text1"/>
          <w:sz w:val="22"/>
          <w:szCs w:val="22"/>
        </w:rPr>
        <w:t>Advice to supervisors</w:t>
      </w:r>
    </w:p>
    <w:p w14:paraId="66070E23" w14:textId="77777777" w:rsidR="00FB1608" w:rsidRDefault="00FB1608" w:rsidP="00F469BD">
      <w:pPr>
        <w:spacing w:line="276" w:lineRule="auto"/>
        <w:ind w:left="1985"/>
        <w:rPr>
          <w:rFonts w:asciiTheme="majorHAnsi" w:hAnsiTheme="majorHAnsi" w:cs="Arial"/>
          <w:noProof/>
          <w:color w:val="000000" w:themeColor="text1"/>
          <w:sz w:val="22"/>
          <w:szCs w:val="22"/>
        </w:rPr>
      </w:pPr>
    </w:p>
    <w:p w14:paraId="31D87A40" w14:textId="6DB11037" w:rsidR="00B91103" w:rsidRDefault="00B91103" w:rsidP="00FB1608">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 </w:t>
      </w:r>
      <w:r w:rsidR="00FB1608">
        <w:rPr>
          <w:rFonts w:asciiTheme="majorHAnsi" w:hAnsiTheme="majorHAnsi" w:cs="Arial"/>
          <w:noProof/>
          <w:color w:val="000000" w:themeColor="text1"/>
          <w:sz w:val="22"/>
          <w:szCs w:val="22"/>
        </w:rPr>
        <w:t>a</w:t>
      </w:r>
      <w:r>
        <w:rPr>
          <w:rFonts w:asciiTheme="majorHAnsi" w:hAnsiTheme="majorHAnsi" w:cs="Arial"/>
          <w:noProof/>
          <w:color w:val="000000" w:themeColor="text1"/>
          <w:sz w:val="22"/>
          <w:szCs w:val="22"/>
        </w:rPr>
        <w:t xml:space="preserve"> supervisor, you need to guide the decisions of your </w:t>
      </w:r>
      <w:r w:rsidR="00FB1608">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You need to help your </w:t>
      </w:r>
      <w:r w:rsidR="00FB1608">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introduce routines, techniques, and practices that enhance their work.  You need to improve the extent to which their work is rich and meaningful as well as trustworthy and credible.  This document helps you achieve this goal. </w:t>
      </w:r>
    </w:p>
    <w:p w14:paraId="720A7109" w14:textId="77777777" w:rsidR="003414BD" w:rsidRDefault="003414BD" w:rsidP="00FB1608">
      <w:pPr>
        <w:spacing w:line="276" w:lineRule="auto"/>
        <w:rPr>
          <w:rFonts w:asciiTheme="majorHAnsi" w:hAnsiTheme="majorHAnsi" w:cs="Arial"/>
          <w:noProof/>
          <w:color w:val="000000" w:themeColor="text1"/>
          <w:sz w:val="22"/>
          <w:szCs w:val="22"/>
        </w:rPr>
      </w:pPr>
    </w:p>
    <w:p w14:paraId="41D4CA06" w14:textId="77777777" w:rsidR="007866F0" w:rsidRPr="000E1EAF" w:rsidRDefault="007866F0" w:rsidP="00B91103">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91103" w:rsidRPr="000E1EAF" w14:paraId="426E965F" w14:textId="77777777" w:rsidTr="002472C4">
        <w:trPr>
          <w:trHeight w:val="313"/>
        </w:trPr>
        <w:tc>
          <w:tcPr>
            <w:tcW w:w="8188" w:type="dxa"/>
            <w:shd w:val="clear" w:color="auto" w:fill="B6DDE8" w:themeFill="accent5" w:themeFillTint="66"/>
          </w:tcPr>
          <w:p w14:paraId="58D6C5C9" w14:textId="5E3D69E9" w:rsidR="00B91103" w:rsidRPr="000E1EAF" w:rsidRDefault="00B91103"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An inventory of practices</w:t>
            </w:r>
          </w:p>
        </w:tc>
      </w:tr>
    </w:tbl>
    <w:p w14:paraId="278B9900" w14:textId="77777777" w:rsidR="00B91103" w:rsidRDefault="00B91103" w:rsidP="00B91103">
      <w:pPr>
        <w:spacing w:line="276" w:lineRule="auto"/>
        <w:ind w:left="1985"/>
        <w:rPr>
          <w:rFonts w:asciiTheme="majorHAnsi" w:hAnsiTheme="majorHAnsi" w:cs="Arial"/>
          <w:noProof/>
          <w:color w:val="000000" w:themeColor="text1"/>
          <w:sz w:val="22"/>
          <w:szCs w:val="22"/>
        </w:rPr>
      </w:pPr>
    </w:p>
    <w:p w14:paraId="7514F8B1" w14:textId="500CCB42" w:rsidR="00B91103" w:rsidRDefault="00B91103" w:rsidP="00B91103">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The following table</w:t>
      </w:r>
      <w:r w:rsidR="00714C3B">
        <w:rPr>
          <w:rFonts w:asciiTheme="majorHAnsi" w:hAnsiTheme="majorHAnsi" w:cs="Arial"/>
          <w:noProof/>
          <w:color w:val="000000" w:themeColor="text1"/>
          <w:sz w:val="22"/>
          <w:szCs w:val="22"/>
        </w:rPr>
        <w:t>s present</w:t>
      </w:r>
      <w:r w:rsidR="00C76C75">
        <w:rPr>
          <w:rFonts w:asciiTheme="majorHAnsi" w:hAnsiTheme="majorHAnsi" w:cs="Arial"/>
          <w:noProof/>
          <w:color w:val="000000" w:themeColor="text1"/>
          <w:sz w:val="22"/>
          <w:szCs w:val="22"/>
        </w:rPr>
        <w:t xml:space="preserve"> an</w:t>
      </w:r>
      <w:r w:rsidR="00714C3B">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inventory of </w:t>
      </w:r>
      <w:r w:rsidR="00714C3B">
        <w:rPr>
          <w:rFonts w:asciiTheme="majorHAnsi" w:hAnsiTheme="majorHAnsi" w:cs="Arial"/>
          <w:noProof/>
          <w:color w:val="000000" w:themeColor="text1"/>
          <w:sz w:val="22"/>
          <w:szCs w:val="22"/>
        </w:rPr>
        <w:t xml:space="preserve">criteria or </w:t>
      </w:r>
      <w:r>
        <w:rPr>
          <w:rFonts w:asciiTheme="majorHAnsi" w:hAnsiTheme="majorHAnsi" w:cs="Arial"/>
          <w:noProof/>
          <w:color w:val="000000" w:themeColor="text1"/>
          <w:sz w:val="22"/>
          <w:szCs w:val="22"/>
        </w:rPr>
        <w:t xml:space="preserve">practices that </w:t>
      </w:r>
      <w:r w:rsidR="00516A7B">
        <w:rPr>
          <w:rFonts w:asciiTheme="majorHAnsi" w:hAnsiTheme="majorHAnsi" w:cs="Arial"/>
          <w:noProof/>
          <w:color w:val="000000" w:themeColor="text1"/>
          <w:sz w:val="22"/>
          <w:szCs w:val="22"/>
        </w:rPr>
        <w:t>candidates</w:t>
      </w:r>
      <w:r w:rsidR="00FB1608">
        <w:rPr>
          <w:rFonts w:asciiTheme="majorHAnsi" w:hAnsiTheme="majorHAnsi" w:cs="Arial"/>
          <w:noProof/>
          <w:color w:val="000000" w:themeColor="text1"/>
          <w:sz w:val="22"/>
          <w:szCs w:val="22"/>
        </w:rPr>
        <w:t>, or indeed all researchers,</w:t>
      </w:r>
      <w:r>
        <w:rPr>
          <w:rFonts w:asciiTheme="majorHAnsi" w:hAnsiTheme="majorHAnsi" w:cs="Arial"/>
          <w:noProof/>
          <w:color w:val="000000" w:themeColor="text1"/>
          <w:sz w:val="22"/>
          <w:szCs w:val="22"/>
        </w:rPr>
        <w:t xml:space="preserve"> might consider to enhance their work.  Which practices</w:t>
      </w:r>
      <w:r w:rsidR="00516A7B" w:rsidRPr="00516A7B">
        <w:rPr>
          <w:rFonts w:asciiTheme="majorHAnsi" w:hAnsiTheme="majorHAnsi" w:cs="Arial"/>
          <w:noProof/>
          <w:color w:val="000000" w:themeColor="text1"/>
          <w:sz w:val="22"/>
          <w:szCs w:val="22"/>
        </w:rPr>
        <w:t xml:space="preserve"> </w:t>
      </w:r>
      <w:r w:rsidR="00516A7B">
        <w:rPr>
          <w:rFonts w:asciiTheme="majorHAnsi" w:hAnsiTheme="majorHAnsi" w:cs="Arial"/>
          <w:noProof/>
          <w:color w:val="000000" w:themeColor="text1"/>
          <w:sz w:val="22"/>
          <w:szCs w:val="22"/>
        </w:rPr>
        <w:t xml:space="preserve">candidates </w:t>
      </w:r>
      <w:r>
        <w:rPr>
          <w:rFonts w:asciiTheme="majorHAnsi" w:hAnsiTheme="majorHAnsi" w:cs="Arial"/>
          <w:noProof/>
          <w:color w:val="000000" w:themeColor="text1"/>
          <w:sz w:val="22"/>
          <w:szCs w:val="22"/>
        </w:rPr>
        <w:t xml:space="preserve">apply will depend on their topic, circumstances, </w:t>
      </w:r>
      <w:r w:rsidR="004E7B0A">
        <w:rPr>
          <w:rFonts w:asciiTheme="majorHAnsi" w:hAnsiTheme="majorHAnsi" w:cs="Arial"/>
          <w:noProof/>
          <w:color w:val="000000" w:themeColor="text1"/>
          <w:sz w:val="22"/>
          <w:szCs w:val="22"/>
        </w:rPr>
        <w:t xml:space="preserve">and preferences as well as the theoretical perspective, methodology, and methods they chose.  Nevertheless, most </w:t>
      </w:r>
      <w:r w:rsidR="00516A7B">
        <w:rPr>
          <w:rFonts w:asciiTheme="majorHAnsi" w:hAnsiTheme="majorHAnsi" w:cs="Arial"/>
          <w:noProof/>
          <w:color w:val="000000" w:themeColor="text1"/>
          <w:sz w:val="22"/>
          <w:szCs w:val="22"/>
        </w:rPr>
        <w:t>candidates</w:t>
      </w:r>
      <w:r w:rsidR="004E7B0A">
        <w:rPr>
          <w:rFonts w:asciiTheme="majorHAnsi" w:hAnsiTheme="majorHAnsi" w:cs="Arial"/>
          <w:noProof/>
          <w:color w:val="000000" w:themeColor="text1"/>
          <w:sz w:val="22"/>
          <w:szCs w:val="22"/>
        </w:rPr>
        <w:t xml:space="preserve"> should </w:t>
      </w:r>
      <w:r w:rsidR="00C73D28">
        <w:rPr>
          <w:rFonts w:asciiTheme="majorHAnsi" w:hAnsiTheme="majorHAnsi" w:cs="Arial"/>
          <w:noProof/>
          <w:color w:val="000000" w:themeColor="text1"/>
          <w:sz w:val="22"/>
          <w:szCs w:val="22"/>
        </w:rPr>
        <w:t xml:space="preserve">apply, or </w:t>
      </w:r>
      <w:r w:rsidR="004E7B0A">
        <w:rPr>
          <w:rFonts w:asciiTheme="majorHAnsi" w:hAnsiTheme="majorHAnsi" w:cs="Arial"/>
          <w:noProof/>
          <w:color w:val="000000" w:themeColor="text1"/>
          <w:sz w:val="22"/>
          <w:szCs w:val="22"/>
        </w:rPr>
        <w:t>at least consider</w:t>
      </w:r>
      <w:r w:rsidR="00C73D28">
        <w:rPr>
          <w:rFonts w:asciiTheme="majorHAnsi" w:hAnsiTheme="majorHAnsi" w:cs="Arial"/>
          <w:noProof/>
          <w:color w:val="000000" w:themeColor="text1"/>
          <w:sz w:val="22"/>
          <w:szCs w:val="22"/>
        </w:rPr>
        <w:t>,</w:t>
      </w:r>
      <w:r w:rsidR="004E7B0A">
        <w:rPr>
          <w:rFonts w:asciiTheme="majorHAnsi" w:hAnsiTheme="majorHAnsi" w:cs="Arial"/>
          <w:noProof/>
          <w:color w:val="000000" w:themeColor="text1"/>
          <w:sz w:val="22"/>
          <w:szCs w:val="22"/>
        </w:rPr>
        <w:t xml:space="preserve"> most of these practices.  </w:t>
      </w:r>
      <w:r w:rsidR="00F72319">
        <w:rPr>
          <w:rFonts w:asciiTheme="majorHAnsi" w:hAnsiTheme="majorHAnsi" w:cs="Arial"/>
          <w:noProof/>
          <w:color w:val="000000" w:themeColor="text1"/>
          <w:sz w:val="22"/>
          <w:szCs w:val="22"/>
        </w:rPr>
        <w:t>The aim of these techniques is to fulfill five criteria (Lincoln, 1995</w:t>
      </w:r>
      <w:r w:rsidR="00F02831">
        <w:rPr>
          <w:rFonts w:asciiTheme="majorHAnsi" w:hAnsiTheme="majorHAnsi" w:cs="Arial"/>
          <w:noProof/>
          <w:color w:val="000000" w:themeColor="text1"/>
          <w:sz w:val="22"/>
          <w:szCs w:val="22"/>
        </w:rPr>
        <w:t xml:space="preserve">; for other discussions on the critiera to assess quality, see Baxter &amp; Eyles, </w:t>
      </w:r>
      <w:r w:rsidR="00F02831" w:rsidRPr="00F02831">
        <w:rPr>
          <w:rFonts w:asciiTheme="majorHAnsi" w:hAnsiTheme="majorHAnsi" w:cs="Arial"/>
          <w:noProof/>
          <w:color w:val="000000" w:themeColor="text1"/>
          <w:sz w:val="22"/>
          <w:szCs w:val="22"/>
        </w:rPr>
        <w:t>1997</w:t>
      </w:r>
      <w:r w:rsidR="00F72319">
        <w:rPr>
          <w:rFonts w:asciiTheme="majorHAnsi" w:hAnsiTheme="majorHAnsi" w:cs="Arial"/>
          <w:noProof/>
          <w:color w:val="000000" w:themeColor="text1"/>
          <w:sz w:val="22"/>
          <w:szCs w:val="22"/>
        </w:rPr>
        <w:t>):</w:t>
      </w:r>
    </w:p>
    <w:p w14:paraId="2D2252DC" w14:textId="77777777" w:rsidR="00F72319" w:rsidRPr="00425F4E" w:rsidRDefault="00F72319" w:rsidP="00425F4E">
      <w:pPr>
        <w:spacing w:line="276" w:lineRule="auto"/>
        <w:ind w:left="1625"/>
        <w:rPr>
          <w:rFonts w:asciiTheme="majorHAnsi" w:hAnsiTheme="majorHAnsi" w:cs="Arial"/>
          <w:noProof/>
          <w:color w:val="000000" w:themeColor="text1"/>
          <w:sz w:val="22"/>
          <w:szCs w:val="22"/>
        </w:rPr>
      </w:pPr>
    </w:p>
    <w:p w14:paraId="5F77B1FF" w14:textId="695CD02C" w:rsidR="00425F4E" w:rsidRDefault="00425F4E" w:rsidP="00F72319">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Credibility: Do the community members or population feel the findings accurately represent their experience</w:t>
      </w:r>
      <w:r w:rsidR="00A117C1">
        <w:rPr>
          <w:rFonts w:asciiTheme="majorHAnsi" w:hAnsiTheme="majorHAnsi" w:cs="Arial"/>
          <w:noProof/>
          <w:color w:val="000000" w:themeColor="text1"/>
          <w:sz w:val="22"/>
          <w:szCs w:val="22"/>
        </w:rPr>
        <w:t>—comparable to internal validity in quantitative studies</w:t>
      </w:r>
      <w:r>
        <w:rPr>
          <w:rFonts w:asciiTheme="majorHAnsi" w:hAnsiTheme="majorHAnsi" w:cs="Arial"/>
          <w:noProof/>
          <w:color w:val="000000" w:themeColor="text1"/>
          <w:sz w:val="22"/>
          <w:szCs w:val="22"/>
        </w:rPr>
        <w:t>?</w:t>
      </w:r>
    </w:p>
    <w:p w14:paraId="25139330" w14:textId="6FF1FFF9" w:rsidR="00425F4E" w:rsidRDefault="00425F4E" w:rsidP="00F72319">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Transferability: Would the findings apply to other relevant communities or settings</w:t>
      </w:r>
      <w:r w:rsidR="00A117C1">
        <w:rPr>
          <w:rFonts w:asciiTheme="majorHAnsi" w:hAnsiTheme="majorHAnsi" w:cs="Arial"/>
          <w:noProof/>
          <w:color w:val="000000" w:themeColor="text1"/>
          <w:sz w:val="22"/>
          <w:szCs w:val="22"/>
        </w:rPr>
        <w:t>—comparable to external validity in quantitative studies</w:t>
      </w:r>
      <w:r>
        <w:rPr>
          <w:rFonts w:asciiTheme="majorHAnsi" w:hAnsiTheme="majorHAnsi" w:cs="Arial"/>
          <w:noProof/>
          <w:color w:val="000000" w:themeColor="text1"/>
          <w:sz w:val="22"/>
          <w:szCs w:val="22"/>
        </w:rPr>
        <w:t>?</w:t>
      </w:r>
    </w:p>
    <w:p w14:paraId="22AC4C0C" w14:textId="2BB0AFC1" w:rsidR="0022084F" w:rsidRDefault="00425F4E" w:rsidP="00F72319">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Dependability: If someone else conducted the research, would they generate </w:t>
      </w:r>
      <w:r w:rsidR="0022084F">
        <w:rPr>
          <w:rFonts w:asciiTheme="majorHAnsi" w:hAnsiTheme="majorHAnsi" w:cs="Arial"/>
          <w:noProof/>
          <w:color w:val="000000" w:themeColor="text1"/>
          <w:sz w:val="22"/>
          <w:szCs w:val="22"/>
        </w:rPr>
        <w:t>comparable</w:t>
      </w:r>
      <w:r>
        <w:rPr>
          <w:rFonts w:asciiTheme="majorHAnsi" w:hAnsiTheme="majorHAnsi" w:cs="Arial"/>
          <w:noProof/>
          <w:color w:val="000000" w:themeColor="text1"/>
          <w:sz w:val="22"/>
          <w:szCs w:val="22"/>
        </w:rPr>
        <w:t xml:space="preserve"> findings</w:t>
      </w:r>
      <w:r w:rsidR="00A117C1">
        <w:rPr>
          <w:rFonts w:asciiTheme="majorHAnsi" w:hAnsiTheme="majorHAnsi" w:cs="Arial"/>
          <w:noProof/>
          <w:color w:val="000000" w:themeColor="text1"/>
          <w:sz w:val="22"/>
          <w:szCs w:val="22"/>
        </w:rPr>
        <w:t>—comparable to reliability in quantitative studies</w:t>
      </w:r>
      <w:r w:rsidR="0022084F">
        <w:rPr>
          <w:rFonts w:asciiTheme="majorHAnsi" w:hAnsiTheme="majorHAnsi" w:cs="Arial"/>
          <w:noProof/>
          <w:color w:val="000000" w:themeColor="text1"/>
          <w:sz w:val="22"/>
          <w:szCs w:val="22"/>
        </w:rPr>
        <w:t>?</w:t>
      </w:r>
    </w:p>
    <w:p w14:paraId="4B52DD19" w14:textId="21F4FD6A" w:rsidR="0022084F" w:rsidRDefault="0022084F" w:rsidP="00F72319">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Confirmability: Do the findings </w:t>
      </w:r>
      <w:r w:rsidR="00A117C1">
        <w:rPr>
          <w:rFonts w:asciiTheme="majorHAnsi" w:hAnsiTheme="majorHAnsi" w:cs="Arial"/>
          <w:noProof/>
          <w:color w:val="000000" w:themeColor="text1"/>
          <w:sz w:val="22"/>
          <w:szCs w:val="22"/>
        </w:rPr>
        <w:t xml:space="preserve">reflect </w:t>
      </w:r>
      <w:r>
        <w:rPr>
          <w:rFonts w:asciiTheme="majorHAnsi" w:hAnsiTheme="majorHAnsi" w:cs="Arial"/>
          <w:noProof/>
          <w:color w:val="000000" w:themeColor="text1"/>
          <w:sz w:val="22"/>
          <w:szCs w:val="22"/>
        </w:rPr>
        <w:t>the responses of participants instead of the biases, motivations, and values of the researchers?</w:t>
      </w:r>
    </w:p>
    <w:p w14:paraId="65C35224" w14:textId="6491C66D" w:rsidR="00F72319" w:rsidRPr="0022084F" w:rsidRDefault="0022084F" w:rsidP="00F72319">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Authenticity: </w:t>
      </w:r>
      <w:r w:rsidR="00635E12">
        <w:rPr>
          <w:rFonts w:asciiTheme="majorHAnsi" w:hAnsiTheme="majorHAnsi" w:cs="Arial"/>
          <w:noProof/>
          <w:color w:val="000000" w:themeColor="text1"/>
          <w:sz w:val="22"/>
          <w:szCs w:val="22"/>
        </w:rPr>
        <w:t>Do the findings characterize the diversity of perspectives—and willl the findings effect change</w:t>
      </w:r>
      <w:r>
        <w:rPr>
          <w:rFonts w:asciiTheme="majorHAnsi" w:hAnsiTheme="majorHAnsi" w:cs="Arial"/>
          <w:noProof/>
          <w:color w:val="000000" w:themeColor="text1"/>
          <w:sz w:val="22"/>
          <w:szCs w:val="22"/>
        </w:rPr>
        <w:t xml:space="preserve">?  </w:t>
      </w:r>
    </w:p>
    <w:p w14:paraId="18D194B8" w14:textId="77777777" w:rsidR="00F72319" w:rsidRDefault="00F72319" w:rsidP="00B91103">
      <w:pPr>
        <w:spacing w:line="276" w:lineRule="auto"/>
        <w:ind w:left="1985"/>
        <w:rPr>
          <w:rFonts w:asciiTheme="majorHAnsi" w:hAnsiTheme="majorHAnsi" w:cs="Arial"/>
          <w:noProof/>
          <w:color w:val="000000" w:themeColor="text1"/>
          <w:sz w:val="22"/>
          <w:szCs w:val="22"/>
        </w:rPr>
      </w:pPr>
    </w:p>
    <w:p w14:paraId="08A159B0" w14:textId="77777777" w:rsidR="004E7B0A" w:rsidRDefault="004E7B0A" w:rsidP="00B91103">
      <w:pPr>
        <w:spacing w:line="276" w:lineRule="auto"/>
        <w:ind w:left="1985"/>
        <w:rPr>
          <w:rFonts w:asciiTheme="majorHAnsi" w:hAnsiTheme="majorHAnsi" w:cs="Arial"/>
          <w:noProof/>
          <w:color w:val="000000" w:themeColor="text1"/>
          <w:sz w:val="22"/>
          <w:szCs w:val="22"/>
        </w:rPr>
      </w:pPr>
    </w:p>
    <w:p w14:paraId="714E343C" w14:textId="0C09DB33" w:rsidR="00FF53BF" w:rsidRDefault="00714C3B" w:rsidP="00FF53BF">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Data collection</w:t>
      </w:r>
    </w:p>
    <w:p w14:paraId="712AE6A0" w14:textId="77777777" w:rsidR="00B90752" w:rsidRDefault="00B90752" w:rsidP="00FF53BF">
      <w:pPr>
        <w:spacing w:line="276" w:lineRule="auto"/>
        <w:ind w:left="1985"/>
        <w:rPr>
          <w:rFonts w:asciiTheme="majorHAnsi" w:hAnsiTheme="majorHAnsi" w:cs="Arial"/>
          <w:b/>
          <w:noProof/>
          <w:color w:val="000000" w:themeColor="text1"/>
          <w:sz w:val="22"/>
          <w:szCs w:val="22"/>
        </w:rPr>
      </w:pPr>
    </w:p>
    <w:p w14:paraId="6DDBFEF0" w14:textId="15638C34" w:rsidR="003414BD" w:rsidRPr="003414BD" w:rsidRDefault="003414BD" w:rsidP="00FF53BF">
      <w:pPr>
        <w:spacing w:line="276" w:lineRule="auto"/>
        <w:ind w:left="1985"/>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b/>
      </w:r>
      <w:r>
        <w:rPr>
          <w:rFonts w:asciiTheme="majorHAnsi" w:hAnsiTheme="majorHAnsi" w:cs="Arial"/>
          <w:noProof/>
          <w:color w:val="000000" w:themeColor="text1"/>
          <w:sz w:val="22"/>
          <w:szCs w:val="22"/>
        </w:rPr>
        <w:t xml:space="preserve">The first set of techniques and practices tend to revolve around the collection and transcription of data including the interview procedures. </w:t>
      </w:r>
    </w:p>
    <w:p w14:paraId="2BD03E37" w14:textId="77777777" w:rsidR="003414BD" w:rsidRPr="00714C3B" w:rsidRDefault="003414BD" w:rsidP="00FF53BF">
      <w:pPr>
        <w:spacing w:line="276" w:lineRule="auto"/>
        <w:ind w:left="1985"/>
        <w:rPr>
          <w:rFonts w:asciiTheme="majorHAnsi" w:hAnsiTheme="majorHAnsi" w:cs="Arial"/>
          <w:b/>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3530"/>
        <w:gridCol w:w="3091"/>
      </w:tblGrid>
      <w:tr w:rsidR="00FF53BF" w:rsidRPr="00C72BEC" w14:paraId="2F15D56F" w14:textId="5B4A06A9" w:rsidTr="00714C3B">
        <w:trPr>
          <w:trHeight w:val="355"/>
        </w:trPr>
        <w:tc>
          <w:tcPr>
            <w:tcW w:w="1809" w:type="dxa"/>
            <w:shd w:val="clear" w:color="auto" w:fill="B6DDE8" w:themeFill="accent5" w:themeFillTint="66"/>
          </w:tcPr>
          <w:p w14:paraId="6036E2E6" w14:textId="60E7B05C" w:rsidR="00FF53BF" w:rsidRPr="00C72BEC" w:rsidRDefault="00FF53BF" w:rsidP="002472C4">
            <w:pPr>
              <w:spacing w:line="276" w:lineRule="auto"/>
              <w:jc w:val="center"/>
              <w:rPr>
                <w:rFonts w:asciiTheme="majorHAnsi" w:hAnsiTheme="majorHAnsi"/>
                <w:b/>
                <w:sz w:val="22"/>
                <w:szCs w:val="22"/>
                <w:lang w:val="en-AU"/>
              </w:rPr>
            </w:pPr>
            <w:r>
              <w:rPr>
                <w:rFonts w:asciiTheme="majorHAnsi" w:hAnsiTheme="majorHAnsi"/>
                <w:sz w:val="22"/>
                <w:szCs w:val="22"/>
              </w:rPr>
              <w:t>Practice</w:t>
            </w:r>
            <w:r w:rsidR="00714C3B">
              <w:rPr>
                <w:rFonts w:asciiTheme="majorHAnsi" w:hAnsiTheme="majorHAnsi"/>
                <w:sz w:val="22"/>
                <w:szCs w:val="22"/>
              </w:rPr>
              <w:t xml:space="preserve"> or criterion</w:t>
            </w:r>
          </w:p>
        </w:tc>
        <w:tc>
          <w:tcPr>
            <w:tcW w:w="3530" w:type="dxa"/>
            <w:shd w:val="clear" w:color="auto" w:fill="B6DDE8" w:themeFill="accent5" w:themeFillTint="66"/>
          </w:tcPr>
          <w:p w14:paraId="34AB6A32" w14:textId="77777777" w:rsidR="00FF53BF" w:rsidRDefault="00FF53BF" w:rsidP="002472C4">
            <w:pPr>
              <w:spacing w:line="276" w:lineRule="auto"/>
              <w:jc w:val="center"/>
              <w:rPr>
                <w:rFonts w:asciiTheme="majorHAnsi" w:hAnsiTheme="majorHAnsi"/>
                <w:sz w:val="22"/>
                <w:szCs w:val="22"/>
              </w:rPr>
            </w:pPr>
            <w:r>
              <w:rPr>
                <w:rFonts w:asciiTheme="majorHAnsi" w:hAnsiTheme="majorHAnsi"/>
                <w:sz w:val="22"/>
                <w:szCs w:val="22"/>
              </w:rPr>
              <w:t>Description</w:t>
            </w:r>
          </w:p>
        </w:tc>
        <w:tc>
          <w:tcPr>
            <w:tcW w:w="3091" w:type="dxa"/>
            <w:shd w:val="clear" w:color="auto" w:fill="B6DDE8" w:themeFill="accent5" w:themeFillTint="66"/>
          </w:tcPr>
          <w:p w14:paraId="233C22C0" w14:textId="77777777" w:rsidR="00714C3B" w:rsidRDefault="00714C3B" w:rsidP="002472C4">
            <w:pPr>
              <w:spacing w:line="276" w:lineRule="auto"/>
              <w:jc w:val="center"/>
              <w:rPr>
                <w:rFonts w:asciiTheme="majorHAnsi" w:hAnsiTheme="majorHAnsi"/>
                <w:sz w:val="22"/>
                <w:szCs w:val="22"/>
              </w:rPr>
            </w:pPr>
            <w:r>
              <w:rPr>
                <w:rFonts w:asciiTheme="majorHAnsi" w:hAnsiTheme="majorHAnsi"/>
                <w:sz w:val="22"/>
                <w:szCs w:val="22"/>
              </w:rPr>
              <w:t xml:space="preserve">Caveats, references, </w:t>
            </w:r>
          </w:p>
          <w:p w14:paraId="41EE5DDB" w14:textId="550DF10C" w:rsidR="00FF53BF" w:rsidRDefault="00714C3B" w:rsidP="002472C4">
            <w:pPr>
              <w:spacing w:line="276" w:lineRule="auto"/>
              <w:jc w:val="center"/>
              <w:rPr>
                <w:rFonts w:asciiTheme="majorHAnsi" w:hAnsiTheme="majorHAnsi"/>
                <w:sz w:val="22"/>
                <w:szCs w:val="22"/>
              </w:rPr>
            </w:pPr>
            <w:r>
              <w:rPr>
                <w:rFonts w:asciiTheme="majorHAnsi" w:hAnsiTheme="majorHAnsi"/>
                <w:sz w:val="22"/>
                <w:szCs w:val="22"/>
              </w:rPr>
              <w:t>and other details</w:t>
            </w:r>
          </w:p>
        </w:tc>
      </w:tr>
      <w:tr w:rsidR="00FF53BF" w:rsidRPr="00C72BEC" w14:paraId="40A958EC" w14:textId="4CFEDADE" w:rsidTr="00714C3B">
        <w:trPr>
          <w:trHeight w:val="369"/>
        </w:trPr>
        <w:tc>
          <w:tcPr>
            <w:tcW w:w="1809" w:type="dxa"/>
            <w:shd w:val="clear" w:color="auto" w:fill="D9D9D9" w:themeFill="background1" w:themeFillShade="D9"/>
          </w:tcPr>
          <w:p w14:paraId="202E5F02" w14:textId="0BA6E087" w:rsidR="00FF53BF" w:rsidRPr="005F4D18" w:rsidRDefault="00714C3B"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Data saturation</w:t>
            </w:r>
            <w:r w:rsidR="00FF53BF" w:rsidRPr="00C215FB">
              <w:rPr>
                <w:rFonts w:asciiTheme="majorHAnsi" w:hAnsiTheme="majorHAnsi" w:cs="Arial"/>
                <w:noProof/>
                <w:color w:val="000000" w:themeColor="text1"/>
                <w:sz w:val="22"/>
                <w:szCs w:val="22"/>
              </w:rPr>
              <w:t xml:space="preserve"> </w:t>
            </w:r>
          </w:p>
        </w:tc>
        <w:tc>
          <w:tcPr>
            <w:tcW w:w="3530" w:type="dxa"/>
            <w:shd w:val="clear" w:color="auto" w:fill="D9D9D9" w:themeFill="background1" w:themeFillShade="D9"/>
          </w:tcPr>
          <w:p w14:paraId="3FD1E24C" w14:textId="77777777" w:rsidR="00FF53BF" w:rsidRDefault="00714C3B" w:rsidP="002472C4">
            <w:pPr>
              <w:spacing w:line="276" w:lineRule="auto"/>
              <w:rPr>
                <w:rFonts w:asciiTheme="majorHAnsi" w:hAnsiTheme="majorHAnsi"/>
                <w:sz w:val="22"/>
                <w:szCs w:val="22"/>
              </w:rPr>
            </w:pPr>
            <w:r>
              <w:rPr>
                <w:rFonts w:asciiTheme="majorHAnsi" w:hAnsiTheme="majorHAnsi"/>
                <w:sz w:val="22"/>
                <w:szCs w:val="22"/>
              </w:rPr>
              <w:t xml:space="preserve">Rather than decide the amount of data to collect in advance, continue to collect data until additional data does not generate novel codes or themes.  </w:t>
            </w:r>
            <w:r w:rsidR="002D6075">
              <w:rPr>
                <w:rFonts w:asciiTheme="majorHAnsi" w:hAnsiTheme="majorHAnsi"/>
                <w:sz w:val="22"/>
                <w:szCs w:val="22"/>
              </w:rPr>
              <w:t>To increase the likelihood of data saturation</w:t>
            </w:r>
          </w:p>
          <w:p w14:paraId="375A0293" w14:textId="77777777" w:rsidR="002D6075" w:rsidRDefault="002D6075" w:rsidP="002472C4">
            <w:pPr>
              <w:spacing w:line="276" w:lineRule="auto"/>
              <w:rPr>
                <w:rFonts w:asciiTheme="majorHAnsi" w:hAnsiTheme="majorHAnsi"/>
                <w:sz w:val="22"/>
                <w:szCs w:val="22"/>
              </w:rPr>
            </w:pPr>
          </w:p>
          <w:p w14:paraId="2F72F165" w14:textId="77777777" w:rsidR="002D6075" w:rsidRDefault="002D6075" w:rsidP="002D6075">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Interview people who are not the obvious respondents</w:t>
            </w:r>
          </w:p>
          <w:p w14:paraId="33430C53" w14:textId="77777777" w:rsidR="002D6075" w:rsidRDefault="002D6075" w:rsidP="002D6075">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attempt to overcome barriers that prevent you from interviewing insightful participants</w:t>
            </w:r>
          </w:p>
          <w:p w14:paraId="22DAEBF6" w14:textId="77777777" w:rsidR="002D6075" w:rsidRDefault="002D6075" w:rsidP="002D6075">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complement interviews with focus groups</w:t>
            </w:r>
          </w:p>
          <w:p w14:paraId="2DFF92A4" w14:textId="559B6328" w:rsidR="002D6075" w:rsidRPr="002D6075" w:rsidRDefault="002D6075" w:rsidP="002D6075">
            <w:pPr>
              <w:pStyle w:val="ListParagraph"/>
              <w:numPr>
                <w:ilvl w:val="0"/>
                <w:numId w:val="14"/>
              </w:numPr>
              <w:spacing w:line="276" w:lineRule="auto"/>
              <w:rPr>
                <w:rFonts w:asciiTheme="majorHAnsi" w:hAnsiTheme="majorHAnsi"/>
                <w:sz w:val="22"/>
                <w:szCs w:val="22"/>
              </w:rPr>
            </w:pPr>
            <w:r>
              <w:rPr>
                <w:rFonts w:asciiTheme="majorHAnsi" w:hAnsiTheme="majorHAnsi"/>
                <w:sz w:val="22"/>
                <w:szCs w:val="22"/>
              </w:rPr>
              <w:t xml:space="preserve">utilize distinct methods to collect data about the same </w:t>
            </w:r>
            <w:r>
              <w:rPr>
                <w:rFonts w:asciiTheme="majorHAnsi" w:hAnsiTheme="majorHAnsi"/>
                <w:sz w:val="22"/>
                <w:szCs w:val="22"/>
              </w:rPr>
              <w:lastRenderedPageBreak/>
              <w:t xml:space="preserve">topic </w:t>
            </w:r>
          </w:p>
        </w:tc>
        <w:tc>
          <w:tcPr>
            <w:tcW w:w="3091" w:type="dxa"/>
            <w:shd w:val="clear" w:color="auto" w:fill="D9D9D9" w:themeFill="background1" w:themeFillShade="D9"/>
          </w:tcPr>
          <w:p w14:paraId="681F6098" w14:textId="6B89439E" w:rsidR="00FF53BF" w:rsidRPr="003D405B" w:rsidRDefault="00F51513" w:rsidP="00F51513">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See </w:t>
            </w:r>
            <w:r w:rsidRPr="00F51513">
              <w:rPr>
                <w:rFonts w:asciiTheme="majorHAnsi" w:hAnsiTheme="majorHAnsi" w:cs="Arial"/>
                <w:noProof/>
                <w:color w:val="000000" w:themeColor="text1"/>
                <w:sz w:val="22"/>
                <w:szCs w:val="22"/>
              </w:rPr>
              <w:t>Fusch</w:t>
            </w:r>
            <w:r>
              <w:rPr>
                <w:rFonts w:asciiTheme="majorHAnsi" w:hAnsiTheme="majorHAnsi" w:cs="Arial"/>
                <w:noProof/>
                <w:color w:val="000000" w:themeColor="text1"/>
                <w:sz w:val="22"/>
                <w:szCs w:val="22"/>
              </w:rPr>
              <w:t xml:space="preserve"> &amp; </w:t>
            </w:r>
            <w:r w:rsidRPr="00F51513">
              <w:rPr>
                <w:rFonts w:asciiTheme="majorHAnsi" w:hAnsiTheme="majorHAnsi" w:cs="Arial"/>
                <w:noProof/>
                <w:color w:val="000000" w:themeColor="text1"/>
                <w:sz w:val="22"/>
                <w:szCs w:val="22"/>
              </w:rPr>
              <w:t>Ness</w:t>
            </w:r>
            <w:r>
              <w:rPr>
                <w:rFonts w:asciiTheme="majorHAnsi" w:hAnsiTheme="majorHAnsi" w:cs="Arial"/>
                <w:noProof/>
                <w:color w:val="000000" w:themeColor="text1"/>
                <w:sz w:val="22"/>
                <w:szCs w:val="22"/>
              </w:rPr>
              <w:t xml:space="preserve"> (2015)</w:t>
            </w:r>
          </w:p>
        </w:tc>
      </w:tr>
      <w:tr w:rsidR="00FF53BF" w:rsidRPr="00C72BEC" w14:paraId="31A5A62A" w14:textId="16C9A148" w:rsidTr="00714C3B">
        <w:trPr>
          <w:trHeight w:val="369"/>
        </w:trPr>
        <w:tc>
          <w:tcPr>
            <w:tcW w:w="1809" w:type="dxa"/>
            <w:shd w:val="clear" w:color="auto" w:fill="D9D9D9" w:themeFill="background1" w:themeFillShade="D9"/>
          </w:tcPr>
          <w:p w14:paraId="3BC52A2E" w14:textId="2E3CA58B" w:rsidR="00FF53BF" w:rsidRPr="005F4D18" w:rsidRDefault="00714C3B" w:rsidP="002472C4">
            <w:pPr>
              <w:spacing w:line="276" w:lineRule="auto"/>
              <w:rPr>
                <w:rFonts w:asciiTheme="majorHAnsi" w:hAnsiTheme="majorHAnsi"/>
                <w:sz w:val="22"/>
                <w:szCs w:val="22"/>
              </w:rPr>
            </w:pPr>
            <w:r>
              <w:rPr>
                <w:rFonts w:asciiTheme="majorHAnsi" w:hAnsiTheme="majorHAnsi"/>
                <w:sz w:val="22"/>
                <w:szCs w:val="22"/>
              </w:rPr>
              <w:t>Rich data</w:t>
            </w:r>
          </w:p>
        </w:tc>
        <w:tc>
          <w:tcPr>
            <w:tcW w:w="3530" w:type="dxa"/>
            <w:shd w:val="clear" w:color="auto" w:fill="D9D9D9" w:themeFill="background1" w:themeFillShade="D9"/>
          </w:tcPr>
          <w:p w14:paraId="0C26F002" w14:textId="77777777" w:rsidR="00714C3B" w:rsidRDefault="00714C3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Rather than seek only thick data—defined as an extensive range of data—researchers should also seek rich data.  Rich data are </w:t>
            </w:r>
          </w:p>
          <w:p w14:paraId="36706DFC" w14:textId="77777777" w:rsidR="00714C3B" w:rsidRDefault="00714C3B" w:rsidP="002472C4">
            <w:pPr>
              <w:spacing w:line="276" w:lineRule="auto"/>
              <w:rPr>
                <w:rFonts w:asciiTheme="majorHAnsi" w:hAnsiTheme="majorHAnsi" w:cs="Arial"/>
                <w:noProof/>
                <w:color w:val="000000" w:themeColor="text1"/>
                <w:sz w:val="22"/>
                <w:szCs w:val="22"/>
              </w:rPr>
            </w:pPr>
          </w:p>
          <w:p w14:paraId="59A0FBC5" w14:textId="2EB9921C" w:rsidR="00714C3B" w:rsidRDefault="00714C3B" w:rsidP="00714C3B">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nuanced—that is, themes refer to subtle differences between similar concepts</w:t>
            </w:r>
          </w:p>
          <w:p w14:paraId="3DB4958C" w14:textId="40E2B951" w:rsidR="00757EA8" w:rsidRDefault="00757EA8" w:rsidP="00714C3B">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paradoxical—that is, themes comprise conflicting features</w:t>
            </w:r>
          </w:p>
          <w:p w14:paraId="273CDC88" w14:textId="384BCDA8" w:rsidR="00714C3B" w:rsidRDefault="00714C3B" w:rsidP="00714C3B">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intricate—that is, themes comprise many distinct but overlapping features</w:t>
            </w:r>
          </w:p>
          <w:p w14:paraId="33E1C531" w14:textId="77777777" w:rsidR="00FF53BF" w:rsidRDefault="00714C3B" w:rsidP="00714C3B">
            <w:pPr>
              <w:pStyle w:val="ListParagraph"/>
              <w:numPr>
                <w:ilvl w:val="0"/>
                <w:numId w:val="13"/>
              </w:numPr>
              <w:spacing w:line="276" w:lineRule="auto"/>
              <w:rPr>
                <w:rFonts w:asciiTheme="majorHAnsi" w:hAnsiTheme="majorHAnsi"/>
                <w:sz w:val="22"/>
                <w:szCs w:val="22"/>
              </w:rPr>
            </w:pPr>
            <w:r>
              <w:rPr>
                <w:rFonts w:asciiTheme="majorHAnsi" w:hAnsiTheme="majorHAnsi"/>
                <w:sz w:val="22"/>
                <w:szCs w:val="22"/>
              </w:rPr>
              <w:t>multi-layered—that is, the researcher explores the same data or events from distinct perspectives</w:t>
            </w:r>
          </w:p>
          <w:p w14:paraId="02EDA308" w14:textId="77777777" w:rsidR="006536A0" w:rsidRDefault="006536A0" w:rsidP="006536A0">
            <w:pPr>
              <w:spacing w:line="276" w:lineRule="auto"/>
              <w:rPr>
                <w:rFonts w:asciiTheme="majorHAnsi" w:hAnsiTheme="majorHAnsi"/>
                <w:sz w:val="22"/>
                <w:szCs w:val="22"/>
              </w:rPr>
            </w:pPr>
          </w:p>
          <w:p w14:paraId="15EFF563" w14:textId="138DB327" w:rsidR="006536A0" w:rsidRPr="006536A0" w:rsidRDefault="006536A0" w:rsidP="006536A0">
            <w:pPr>
              <w:spacing w:line="276" w:lineRule="auto"/>
              <w:rPr>
                <w:rFonts w:asciiTheme="majorHAnsi" w:hAnsiTheme="majorHAnsi"/>
                <w:sz w:val="22"/>
                <w:szCs w:val="22"/>
              </w:rPr>
            </w:pPr>
            <w:r>
              <w:rPr>
                <w:rFonts w:asciiTheme="majorHAnsi" w:hAnsiTheme="majorHAnsi"/>
                <w:sz w:val="22"/>
                <w:szCs w:val="22"/>
              </w:rPr>
              <w:t xml:space="preserve">When data </w:t>
            </w:r>
            <w:r w:rsidR="00327C33">
              <w:rPr>
                <w:rFonts w:asciiTheme="majorHAnsi" w:hAnsiTheme="majorHAnsi"/>
                <w:sz w:val="22"/>
                <w:szCs w:val="22"/>
              </w:rPr>
              <w:t>are</w:t>
            </w:r>
            <w:r>
              <w:rPr>
                <w:rFonts w:asciiTheme="majorHAnsi" w:hAnsiTheme="majorHAnsi"/>
                <w:sz w:val="22"/>
                <w:szCs w:val="22"/>
              </w:rPr>
              <w:t xml:space="preserve"> rich, </w:t>
            </w:r>
            <w:r w:rsidR="00327C33">
              <w:rPr>
                <w:rFonts w:asciiTheme="majorHAnsi" w:hAnsiTheme="majorHAnsi"/>
                <w:sz w:val="22"/>
                <w:szCs w:val="22"/>
              </w:rPr>
              <w:t xml:space="preserve">end </w:t>
            </w:r>
            <w:proofErr w:type="spellStart"/>
            <w:r w:rsidR="00327C33">
              <w:rPr>
                <w:rFonts w:asciiTheme="majorHAnsi" w:hAnsiTheme="majorHAnsi"/>
                <w:sz w:val="22"/>
                <w:szCs w:val="22"/>
              </w:rPr>
              <w:t>users</w:t>
            </w:r>
            <w:r>
              <w:rPr>
                <w:rFonts w:asciiTheme="majorHAnsi" w:hAnsiTheme="majorHAnsi"/>
                <w:sz w:val="22"/>
                <w:szCs w:val="22"/>
              </w:rPr>
              <w:t xml:space="preserve"> </w:t>
            </w:r>
            <w:proofErr w:type="spellEnd"/>
            <w:r>
              <w:rPr>
                <w:rFonts w:asciiTheme="majorHAnsi" w:hAnsiTheme="majorHAnsi"/>
                <w:sz w:val="22"/>
                <w:szCs w:val="22"/>
              </w:rPr>
              <w:t xml:space="preserve">who want to apply the findings of a qualitative study can more readily evaluate whether these findings are </w:t>
            </w:r>
            <w:r w:rsidR="00327C33">
              <w:rPr>
                <w:rFonts w:asciiTheme="majorHAnsi" w:hAnsiTheme="majorHAnsi"/>
                <w:sz w:val="22"/>
                <w:szCs w:val="22"/>
              </w:rPr>
              <w:t xml:space="preserve">indeed </w:t>
            </w:r>
            <w:r>
              <w:rPr>
                <w:rFonts w:asciiTheme="majorHAnsi" w:hAnsiTheme="majorHAnsi"/>
                <w:sz w:val="22"/>
                <w:szCs w:val="22"/>
              </w:rPr>
              <w:t>applicable to their circumstances, called transferability.  Thus,</w:t>
            </w:r>
            <w:r w:rsidR="00327C33">
              <w:rPr>
                <w:rFonts w:asciiTheme="majorHAnsi" w:hAnsiTheme="majorHAnsi"/>
                <w:sz w:val="22"/>
                <w:szCs w:val="22"/>
              </w:rPr>
              <w:t xml:space="preserve"> as</w:t>
            </w:r>
            <w:r>
              <w:rPr>
                <w:rFonts w:asciiTheme="majorHAnsi" w:hAnsiTheme="majorHAnsi"/>
                <w:sz w:val="22"/>
                <w:szCs w:val="22"/>
              </w:rPr>
              <w:t xml:space="preserve"> </w:t>
            </w:r>
            <w:r w:rsidRPr="006536A0">
              <w:rPr>
                <w:rFonts w:asciiTheme="majorHAnsi" w:hAnsiTheme="majorHAnsi"/>
                <w:sz w:val="22"/>
                <w:szCs w:val="22"/>
              </w:rPr>
              <w:t>Lincoln and Guba (1985)</w:t>
            </w:r>
            <w:r>
              <w:rPr>
                <w:rFonts w:asciiTheme="majorHAnsi" w:hAnsiTheme="majorHAnsi"/>
                <w:sz w:val="22"/>
                <w:szCs w:val="22"/>
              </w:rPr>
              <w:t xml:space="preserve"> argue, the degree to which qualitative research is transferable is more dependent on </w:t>
            </w:r>
            <w:r w:rsidR="00327C33">
              <w:rPr>
                <w:rFonts w:asciiTheme="majorHAnsi" w:hAnsiTheme="majorHAnsi"/>
                <w:sz w:val="22"/>
                <w:szCs w:val="22"/>
              </w:rPr>
              <w:t xml:space="preserve">the </w:t>
            </w:r>
            <w:proofErr w:type="spellStart"/>
            <w:r w:rsidR="00327C33">
              <w:rPr>
                <w:rFonts w:asciiTheme="majorHAnsi" w:hAnsiTheme="majorHAnsi"/>
                <w:sz w:val="22"/>
                <w:szCs w:val="22"/>
              </w:rPr>
              <w:t xml:space="preserve">end </w:t>
            </w:r>
            <w:proofErr w:type="spellEnd"/>
            <w:r w:rsidR="00327C33">
              <w:rPr>
                <w:rFonts w:asciiTheme="majorHAnsi" w:hAnsiTheme="majorHAnsi"/>
                <w:sz w:val="22"/>
                <w:szCs w:val="22"/>
              </w:rPr>
              <w:t>user</w:t>
            </w:r>
            <w:r>
              <w:rPr>
                <w:rFonts w:asciiTheme="majorHAnsi" w:hAnsiTheme="majorHAnsi"/>
                <w:sz w:val="22"/>
                <w:szCs w:val="22"/>
              </w:rPr>
              <w:t xml:space="preserve"> and not the research </w:t>
            </w:r>
            <w:r w:rsidR="00327C33">
              <w:rPr>
                <w:rFonts w:asciiTheme="majorHAnsi" w:hAnsiTheme="majorHAnsi"/>
                <w:sz w:val="22"/>
                <w:szCs w:val="22"/>
              </w:rPr>
              <w:t xml:space="preserve">per se. </w:t>
            </w:r>
            <w:r>
              <w:rPr>
                <w:rFonts w:asciiTheme="majorHAnsi" w:hAnsiTheme="majorHAnsi"/>
                <w:sz w:val="22"/>
                <w:szCs w:val="22"/>
              </w:rPr>
              <w:t>The researchers cannot evaluate transferability, because they do not know how the research will be applied.  The</w:t>
            </w:r>
            <w:r w:rsidR="00327C33">
              <w:rPr>
                <w:rFonts w:asciiTheme="majorHAnsi" w:hAnsiTheme="majorHAnsi"/>
                <w:sz w:val="22"/>
                <w:szCs w:val="22"/>
              </w:rPr>
              <w:t>se</w:t>
            </w:r>
            <w:r>
              <w:rPr>
                <w:rFonts w:asciiTheme="majorHAnsi" w:hAnsiTheme="majorHAnsi"/>
                <w:sz w:val="22"/>
                <w:szCs w:val="22"/>
              </w:rPr>
              <w:t xml:space="preserve"> researchers can merely supply rich data to enable </w:t>
            </w:r>
            <w:r w:rsidR="00327C33">
              <w:rPr>
                <w:rFonts w:asciiTheme="majorHAnsi" w:hAnsiTheme="majorHAnsi"/>
                <w:sz w:val="22"/>
                <w:szCs w:val="22"/>
              </w:rPr>
              <w:t>the end users</w:t>
            </w:r>
            <w:r>
              <w:rPr>
                <w:rFonts w:asciiTheme="majorHAnsi" w:hAnsiTheme="majorHAnsi"/>
                <w:sz w:val="22"/>
                <w:szCs w:val="22"/>
              </w:rPr>
              <w:t xml:space="preserve"> to evaluate </w:t>
            </w:r>
            <w:r>
              <w:rPr>
                <w:rFonts w:asciiTheme="majorHAnsi" w:hAnsiTheme="majorHAnsi"/>
                <w:sz w:val="22"/>
                <w:szCs w:val="22"/>
              </w:rPr>
              <w:lastRenderedPageBreak/>
              <w:t xml:space="preserve">transferability.  </w:t>
            </w:r>
          </w:p>
        </w:tc>
        <w:tc>
          <w:tcPr>
            <w:tcW w:w="3091" w:type="dxa"/>
            <w:shd w:val="clear" w:color="auto" w:fill="D9D9D9" w:themeFill="background1" w:themeFillShade="D9"/>
          </w:tcPr>
          <w:p w14:paraId="503CF683" w14:textId="646DE4CB" w:rsidR="00FF53BF" w:rsidRPr="003D405B" w:rsidRDefault="00F51513"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For a review, see </w:t>
            </w:r>
            <w:r w:rsidRPr="00F51513">
              <w:rPr>
                <w:rFonts w:asciiTheme="majorHAnsi" w:hAnsiTheme="majorHAnsi" w:cs="Arial"/>
                <w:noProof/>
                <w:color w:val="000000" w:themeColor="text1"/>
                <w:sz w:val="22"/>
                <w:szCs w:val="22"/>
              </w:rPr>
              <w:t>Fusch</w:t>
            </w:r>
            <w:r>
              <w:rPr>
                <w:rFonts w:asciiTheme="majorHAnsi" w:hAnsiTheme="majorHAnsi" w:cs="Arial"/>
                <w:noProof/>
                <w:color w:val="000000" w:themeColor="text1"/>
                <w:sz w:val="22"/>
                <w:szCs w:val="22"/>
              </w:rPr>
              <w:t xml:space="preserve"> &amp; </w:t>
            </w:r>
            <w:r w:rsidRPr="00F51513">
              <w:rPr>
                <w:rFonts w:asciiTheme="majorHAnsi" w:hAnsiTheme="majorHAnsi" w:cs="Arial"/>
                <w:noProof/>
                <w:color w:val="000000" w:themeColor="text1"/>
                <w:sz w:val="22"/>
                <w:szCs w:val="22"/>
              </w:rPr>
              <w:t>Ness</w:t>
            </w:r>
            <w:r>
              <w:rPr>
                <w:rFonts w:asciiTheme="majorHAnsi" w:hAnsiTheme="majorHAnsi" w:cs="Arial"/>
                <w:noProof/>
                <w:color w:val="000000" w:themeColor="text1"/>
                <w:sz w:val="22"/>
                <w:szCs w:val="22"/>
              </w:rPr>
              <w:t xml:space="preserve"> (2015)</w:t>
            </w:r>
          </w:p>
        </w:tc>
      </w:tr>
      <w:tr w:rsidR="003414BD" w:rsidRPr="00C72BEC" w14:paraId="3D629078" w14:textId="77777777" w:rsidTr="00714C3B">
        <w:trPr>
          <w:trHeight w:val="369"/>
        </w:trPr>
        <w:tc>
          <w:tcPr>
            <w:tcW w:w="1809" w:type="dxa"/>
            <w:shd w:val="clear" w:color="auto" w:fill="D9D9D9" w:themeFill="background1" w:themeFillShade="D9"/>
          </w:tcPr>
          <w:p w14:paraId="07B666FE" w14:textId="142C65AF"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Triangulation</w:t>
            </w:r>
          </w:p>
        </w:tc>
        <w:tc>
          <w:tcPr>
            <w:tcW w:w="3530" w:type="dxa"/>
            <w:shd w:val="clear" w:color="auto" w:fill="D9D9D9" w:themeFill="background1" w:themeFillShade="D9"/>
          </w:tcPr>
          <w:p w14:paraId="7B99D604" w14:textId="064598CF"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Complement one set of methods—such as interviews and focus groups—with other methods—such as document analysis—partly to overcome the limitations of each approach.  In addition, collect data from a broader range of informants, documents, or both. </w:t>
            </w:r>
          </w:p>
        </w:tc>
        <w:tc>
          <w:tcPr>
            <w:tcW w:w="3091" w:type="dxa"/>
            <w:shd w:val="clear" w:color="auto" w:fill="D9D9D9" w:themeFill="background1" w:themeFillShade="D9"/>
          </w:tcPr>
          <w:p w14:paraId="3703F373" w14:textId="77777777" w:rsidR="003414BD" w:rsidRDefault="003414BD" w:rsidP="002472C4">
            <w:pPr>
              <w:pStyle w:val="ListParagraph"/>
              <w:numPr>
                <w:ilvl w:val="0"/>
                <w:numId w:val="16"/>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2c</w:t>
            </w:r>
          </w:p>
          <w:p w14:paraId="2D9F49BC" w14:textId="77777777" w:rsidR="003414BD" w:rsidRPr="00E3213C" w:rsidRDefault="003414BD" w:rsidP="002472C4">
            <w:pPr>
              <w:pStyle w:val="ListParagraph"/>
              <w:numPr>
                <w:ilvl w:val="0"/>
                <w:numId w:val="16"/>
              </w:numPr>
              <w:spacing w:line="276" w:lineRule="auto"/>
              <w:rPr>
                <w:rFonts w:asciiTheme="majorHAnsi" w:hAnsiTheme="majorHAnsi"/>
                <w:sz w:val="22"/>
                <w:szCs w:val="22"/>
              </w:rPr>
            </w:pPr>
            <w:r w:rsidRPr="00E3213C">
              <w:rPr>
                <w:rFonts w:asciiTheme="majorHAnsi" w:hAnsiTheme="majorHAnsi"/>
                <w:sz w:val="22"/>
                <w:szCs w:val="22"/>
              </w:rPr>
              <w:t>Cite Brewer</w:t>
            </w:r>
            <w:r>
              <w:rPr>
                <w:rFonts w:asciiTheme="majorHAnsi" w:hAnsiTheme="majorHAnsi"/>
                <w:sz w:val="22"/>
                <w:szCs w:val="22"/>
              </w:rPr>
              <w:t xml:space="preserve"> &amp; Hunter </w:t>
            </w:r>
            <w:r w:rsidRPr="00E3213C">
              <w:rPr>
                <w:rFonts w:asciiTheme="majorHAnsi" w:hAnsiTheme="majorHAnsi"/>
                <w:sz w:val="22"/>
                <w:szCs w:val="22"/>
              </w:rPr>
              <w:t>(1989</w:t>
            </w:r>
            <w:r>
              <w:rPr>
                <w:rFonts w:asciiTheme="majorHAnsi" w:hAnsiTheme="majorHAnsi"/>
                <w:sz w:val="22"/>
                <w:szCs w:val="22"/>
              </w:rPr>
              <w:t xml:space="preserve">); </w:t>
            </w:r>
            <w:r w:rsidRPr="00F51513">
              <w:rPr>
                <w:rFonts w:asciiTheme="majorHAnsi" w:hAnsiTheme="majorHAnsi" w:cs="Arial"/>
                <w:noProof/>
                <w:color w:val="000000" w:themeColor="text1"/>
                <w:sz w:val="22"/>
                <w:szCs w:val="22"/>
              </w:rPr>
              <w:t>Fusch</w:t>
            </w:r>
            <w:r>
              <w:rPr>
                <w:rFonts w:asciiTheme="majorHAnsi" w:hAnsiTheme="majorHAnsi" w:cs="Arial"/>
                <w:noProof/>
                <w:color w:val="000000" w:themeColor="text1"/>
                <w:sz w:val="22"/>
                <w:szCs w:val="22"/>
              </w:rPr>
              <w:t xml:space="preserve"> &amp; </w:t>
            </w:r>
            <w:r w:rsidRPr="00F51513">
              <w:rPr>
                <w:rFonts w:asciiTheme="majorHAnsi" w:hAnsiTheme="majorHAnsi" w:cs="Arial"/>
                <w:noProof/>
                <w:color w:val="000000" w:themeColor="text1"/>
                <w:sz w:val="22"/>
                <w:szCs w:val="22"/>
              </w:rPr>
              <w:t>Ness</w:t>
            </w:r>
            <w:r>
              <w:rPr>
                <w:rFonts w:asciiTheme="majorHAnsi" w:hAnsiTheme="majorHAnsi" w:cs="Arial"/>
                <w:noProof/>
                <w:color w:val="000000" w:themeColor="text1"/>
                <w:sz w:val="22"/>
                <w:szCs w:val="22"/>
              </w:rPr>
              <w:t xml:space="preserve"> (2015)</w:t>
            </w:r>
          </w:p>
          <w:p w14:paraId="57B45D0D" w14:textId="77777777" w:rsidR="003414BD" w:rsidRDefault="003414BD" w:rsidP="002472C4">
            <w:pPr>
              <w:spacing w:line="276" w:lineRule="auto"/>
              <w:rPr>
                <w:rFonts w:asciiTheme="majorHAnsi" w:hAnsiTheme="majorHAnsi"/>
                <w:sz w:val="22"/>
                <w:szCs w:val="22"/>
              </w:rPr>
            </w:pPr>
          </w:p>
        </w:tc>
      </w:tr>
      <w:tr w:rsidR="003414BD" w:rsidRPr="00C72BEC" w14:paraId="74BC30A8" w14:textId="77777777" w:rsidTr="00714C3B">
        <w:trPr>
          <w:trHeight w:val="369"/>
        </w:trPr>
        <w:tc>
          <w:tcPr>
            <w:tcW w:w="1809" w:type="dxa"/>
            <w:shd w:val="clear" w:color="auto" w:fill="D9D9D9" w:themeFill="background1" w:themeFillShade="D9"/>
          </w:tcPr>
          <w:p w14:paraId="50B227B8" w14:textId="59AB189D"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Promoting honesty in informants</w:t>
            </w:r>
          </w:p>
        </w:tc>
        <w:tc>
          <w:tcPr>
            <w:tcW w:w="3530" w:type="dxa"/>
            <w:shd w:val="clear" w:color="auto" w:fill="D9D9D9" w:themeFill="background1" w:themeFillShade="D9"/>
          </w:tcPr>
          <w:p w14:paraId="13DC205F" w14:textId="77777777"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encourage informants to be as honest as possible, researchers should</w:t>
            </w:r>
          </w:p>
          <w:p w14:paraId="7ED28E1C" w14:textId="77777777" w:rsidR="003414BD" w:rsidRDefault="003414BD" w:rsidP="002472C4">
            <w:pPr>
              <w:spacing w:line="276" w:lineRule="auto"/>
              <w:rPr>
                <w:rFonts w:asciiTheme="majorHAnsi" w:hAnsiTheme="majorHAnsi" w:cs="Arial"/>
                <w:noProof/>
                <w:color w:val="000000" w:themeColor="text1"/>
                <w:sz w:val="22"/>
                <w:szCs w:val="22"/>
              </w:rPr>
            </w:pPr>
          </w:p>
          <w:p w14:paraId="6EA2D1D0" w14:textId="63BE6DCA" w:rsidR="003414BD" w:rsidRDefault="003414BD" w:rsidP="002472C4">
            <w:pPr>
              <w:pStyle w:val="ListParagraph"/>
              <w:numPr>
                <w:ilvl w:val="0"/>
                <w:numId w:val="17"/>
              </w:numPr>
              <w:spacing w:line="276" w:lineRule="auto"/>
              <w:rPr>
                <w:rFonts w:asciiTheme="majorHAnsi" w:hAnsiTheme="majorHAnsi"/>
                <w:sz w:val="22"/>
                <w:szCs w:val="22"/>
              </w:rPr>
            </w:pPr>
            <w:r>
              <w:rPr>
                <w:rFonts w:asciiTheme="majorHAnsi" w:hAnsiTheme="majorHAnsi"/>
                <w:sz w:val="22"/>
                <w:szCs w:val="22"/>
              </w:rPr>
              <w:t>attempt to develop a strong rapport before asking invasive questions</w:t>
            </w:r>
            <w:r w:rsidR="006E79EC">
              <w:rPr>
                <w:rFonts w:asciiTheme="majorHAnsi" w:hAnsiTheme="majorHAnsi"/>
                <w:sz w:val="22"/>
                <w:szCs w:val="22"/>
              </w:rPr>
              <w:t xml:space="preserve">.  That is, before each interview, or early in the interview, share personal background and goals  </w:t>
            </w:r>
          </w:p>
          <w:p w14:paraId="729EFFD3" w14:textId="77777777" w:rsidR="00746FB6" w:rsidRDefault="003414BD" w:rsidP="002472C4">
            <w:pPr>
              <w:pStyle w:val="ListParagraph"/>
              <w:numPr>
                <w:ilvl w:val="0"/>
                <w:numId w:val="17"/>
              </w:numPr>
              <w:spacing w:line="276" w:lineRule="auto"/>
              <w:rPr>
                <w:rFonts w:asciiTheme="majorHAnsi" w:hAnsiTheme="majorHAnsi"/>
                <w:sz w:val="22"/>
                <w:szCs w:val="22"/>
              </w:rPr>
            </w:pPr>
            <w:r>
              <w:rPr>
                <w:rFonts w:asciiTheme="majorHAnsi" w:hAnsiTheme="majorHAnsi"/>
                <w:sz w:val="22"/>
                <w:szCs w:val="22"/>
              </w:rPr>
              <w:t>emphasize that answers are not correct or incorrect—and even vague or unformed responses could be very helpful</w:t>
            </w:r>
          </w:p>
          <w:p w14:paraId="5DAAA7DE" w14:textId="58C935F1" w:rsidR="003414BD" w:rsidRPr="00746FB6" w:rsidRDefault="003414BD" w:rsidP="002472C4">
            <w:pPr>
              <w:pStyle w:val="ListParagraph"/>
              <w:numPr>
                <w:ilvl w:val="0"/>
                <w:numId w:val="17"/>
              </w:numPr>
              <w:spacing w:line="276" w:lineRule="auto"/>
              <w:rPr>
                <w:rFonts w:asciiTheme="majorHAnsi" w:hAnsiTheme="majorHAnsi"/>
                <w:sz w:val="22"/>
                <w:szCs w:val="22"/>
              </w:rPr>
            </w:pPr>
            <w:r w:rsidRPr="00746FB6">
              <w:rPr>
                <w:rFonts w:asciiTheme="majorHAnsi" w:hAnsiTheme="majorHAnsi"/>
                <w:sz w:val="22"/>
                <w:szCs w:val="22"/>
              </w:rPr>
              <w:t xml:space="preserve">highlight their independence from the leaders of these informants if applicable </w:t>
            </w:r>
          </w:p>
        </w:tc>
        <w:tc>
          <w:tcPr>
            <w:tcW w:w="3091" w:type="dxa"/>
            <w:shd w:val="clear" w:color="auto" w:fill="D9D9D9" w:themeFill="background1" w:themeFillShade="D9"/>
          </w:tcPr>
          <w:p w14:paraId="714CD1F4" w14:textId="77777777" w:rsidR="003414BD" w:rsidRDefault="003414BD" w:rsidP="003414BD">
            <w:pPr>
              <w:pStyle w:val="ListParagraph"/>
              <w:numPr>
                <w:ilvl w:val="0"/>
                <w:numId w:val="17"/>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2e</w:t>
            </w:r>
          </w:p>
          <w:p w14:paraId="6D242916" w14:textId="77777777" w:rsidR="006E79EC" w:rsidRDefault="006E79EC" w:rsidP="006E79EC">
            <w:pPr>
              <w:spacing w:line="276" w:lineRule="auto"/>
              <w:rPr>
                <w:rFonts w:asciiTheme="majorHAnsi" w:hAnsiTheme="majorHAnsi"/>
                <w:b/>
                <w:sz w:val="22"/>
                <w:szCs w:val="22"/>
              </w:rPr>
            </w:pPr>
          </w:p>
          <w:p w14:paraId="56BFA8B9" w14:textId="23B83709" w:rsidR="006E79EC" w:rsidRPr="006E79EC" w:rsidRDefault="006E79EC" w:rsidP="006E79EC">
            <w:pPr>
              <w:spacing w:line="276" w:lineRule="auto"/>
              <w:rPr>
                <w:rFonts w:asciiTheme="majorHAnsi" w:hAnsiTheme="majorHAnsi"/>
                <w:b/>
                <w:sz w:val="22"/>
                <w:szCs w:val="22"/>
              </w:rPr>
            </w:pPr>
            <w:r>
              <w:rPr>
                <w:rFonts w:asciiTheme="majorHAnsi" w:hAnsiTheme="majorHAnsi"/>
                <w:b/>
                <w:sz w:val="22"/>
                <w:szCs w:val="22"/>
              </w:rPr>
              <w:t>References about creating rapport</w:t>
            </w:r>
          </w:p>
          <w:p w14:paraId="372142A3" w14:textId="77777777" w:rsidR="006E79EC" w:rsidRDefault="006E79EC" w:rsidP="006E79EC">
            <w:pPr>
              <w:pStyle w:val="ListParagraph"/>
              <w:numPr>
                <w:ilvl w:val="0"/>
                <w:numId w:val="31"/>
              </w:numPr>
              <w:spacing w:line="276" w:lineRule="auto"/>
              <w:rPr>
                <w:rFonts w:asciiTheme="majorHAnsi" w:hAnsiTheme="majorHAnsi"/>
                <w:sz w:val="22"/>
                <w:szCs w:val="22"/>
              </w:rPr>
            </w:pPr>
            <w:r w:rsidRPr="006E79EC">
              <w:rPr>
                <w:rFonts w:asciiTheme="majorHAnsi" w:hAnsiTheme="majorHAnsi"/>
                <w:sz w:val="22"/>
                <w:szCs w:val="22"/>
              </w:rPr>
              <w:t xml:space="preserve">Block, L. &amp; </w:t>
            </w:r>
            <w:proofErr w:type="spellStart"/>
            <w:r w:rsidRPr="006E79EC">
              <w:rPr>
                <w:rFonts w:asciiTheme="majorHAnsi" w:hAnsiTheme="majorHAnsi"/>
                <w:sz w:val="22"/>
                <w:szCs w:val="22"/>
              </w:rPr>
              <w:t>Leseho</w:t>
            </w:r>
            <w:proofErr w:type="spellEnd"/>
            <w:r w:rsidRPr="006E79EC">
              <w:rPr>
                <w:rFonts w:asciiTheme="majorHAnsi" w:hAnsiTheme="majorHAnsi"/>
                <w:sz w:val="22"/>
                <w:szCs w:val="22"/>
              </w:rPr>
              <w:t>, J.</w:t>
            </w:r>
            <w:r>
              <w:rPr>
                <w:rFonts w:asciiTheme="majorHAnsi" w:hAnsiTheme="majorHAnsi"/>
                <w:sz w:val="22"/>
                <w:szCs w:val="22"/>
              </w:rPr>
              <w:t xml:space="preserve"> </w:t>
            </w:r>
            <w:r w:rsidRPr="006E79EC">
              <w:rPr>
                <w:rFonts w:asciiTheme="majorHAnsi" w:hAnsiTheme="majorHAnsi"/>
                <w:sz w:val="22"/>
                <w:szCs w:val="22"/>
              </w:rPr>
              <w:t>(2005). Listen and I tell you something: Storytelling and social action in the healing of the oppressed', British Journal of Guidance and Counselling, 33, 175-184.</w:t>
            </w:r>
          </w:p>
          <w:p w14:paraId="76F6CA4F" w14:textId="3CE9BAB4" w:rsidR="006E79EC" w:rsidRPr="006E79EC" w:rsidRDefault="006E79EC" w:rsidP="006E79EC">
            <w:pPr>
              <w:pStyle w:val="ListParagraph"/>
              <w:numPr>
                <w:ilvl w:val="0"/>
                <w:numId w:val="31"/>
              </w:numPr>
              <w:spacing w:line="276" w:lineRule="auto"/>
              <w:rPr>
                <w:rFonts w:asciiTheme="majorHAnsi" w:hAnsiTheme="majorHAnsi"/>
                <w:sz w:val="22"/>
                <w:szCs w:val="22"/>
              </w:rPr>
            </w:pPr>
            <w:proofErr w:type="spellStart"/>
            <w:r w:rsidRPr="006E79EC">
              <w:rPr>
                <w:rFonts w:asciiTheme="majorHAnsi" w:hAnsiTheme="majorHAnsi"/>
                <w:sz w:val="22"/>
                <w:szCs w:val="22"/>
              </w:rPr>
              <w:t>Elmir</w:t>
            </w:r>
            <w:proofErr w:type="spellEnd"/>
            <w:r w:rsidRPr="006E79EC">
              <w:rPr>
                <w:rFonts w:asciiTheme="majorHAnsi" w:hAnsiTheme="majorHAnsi"/>
                <w:sz w:val="22"/>
                <w:szCs w:val="22"/>
              </w:rPr>
              <w:t>, R</w:t>
            </w:r>
            <w:r>
              <w:rPr>
                <w:rFonts w:asciiTheme="majorHAnsi" w:hAnsiTheme="majorHAnsi"/>
                <w:sz w:val="22"/>
                <w:szCs w:val="22"/>
              </w:rPr>
              <w:t>.</w:t>
            </w:r>
            <w:r w:rsidRPr="006E79EC">
              <w:rPr>
                <w:rFonts w:asciiTheme="majorHAnsi" w:hAnsiTheme="majorHAnsi"/>
                <w:sz w:val="22"/>
                <w:szCs w:val="22"/>
              </w:rPr>
              <w:t xml:space="preserve">, </w:t>
            </w:r>
            <w:proofErr w:type="spellStart"/>
            <w:r w:rsidRPr="006E79EC">
              <w:rPr>
                <w:rFonts w:asciiTheme="majorHAnsi" w:hAnsiTheme="majorHAnsi"/>
                <w:sz w:val="22"/>
                <w:szCs w:val="22"/>
              </w:rPr>
              <w:t>Schmied</w:t>
            </w:r>
            <w:proofErr w:type="spellEnd"/>
            <w:r w:rsidRPr="006E79EC">
              <w:rPr>
                <w:rFonts w:asciiTheme="majorHAnsi" w:hAnsiTheme="majorHAnsi"/>
                <w:sz w:val="22"/>
                <w:szCs w:val="22"/>
              </w:rPr>
              <w:t>, V</w:t>
            </w:r>
            <w:r>
              <w:rPr>
                <w:rFonts w:asciiTheme="majorHAnsi" w:hAnsiTheme="majorHAnsi"/>
                <w:sz w:val="22"/>
                <w:szCs w:val="22"/>
              </w:rPr>
              <w:t>.</w:t>
            </w:r>
            <w:r w:rsidRPr="006E79EC">
              <w:rPr>
                <w:rFonts w:asciiTheme="majorHAnsi" w:hAnsiTheme="majorHAnsi"/>
                <w:sz w:val="22"/>
                <w:szCs w:val="22"/>
              </w:rPr>
              <w:t>, Jackson, D</w:t>
            </w:r>
            <w:r>
              <w:rPr>
                <w:rFonts w:asciiTheme="majorHAnsi" w:hAnsiTheme="majorHAnsi"/>
                <w:sz w:val="22"/>
                <w:szCs w:val="22"/>
              </w:rPr>
              <w:t>.,</w:t>
            </w:r>
            <w:r w:rsidRPr="006E79EC">
              <w:rPr>
                <w:rFonts w:asciiTheme="majorHAnsi" w:hAnsiTheme="majorHAnsi"/>
                <w:sz w:val="22"/>
                <w:szCs w:val="22"/>
              </w:rPr>
              <w:t xml:space="preserve"> &amp; Wilkes, L</w:t>
            </w:r>
            <w:r>
              <w:rPr>
                <w:rFonts w:asciiTheme="majorHAnsi" w:hAnsiTheme="majorHAnsi"/>
                <w:sz w:val="22"/>
                <w:szCs w:val="22"/>
              </w:rPr>
              <w:t>.</w:t>
            </w:r>
            <w:r w:rsidRPr="006E79EC">
              <w:rPr>
                <w:rFonts w:asciiTheme="majorHAnsi" w:hAnsiTheme="majorHAnsi"/>
                <w:sz w:val="22"/>
                <w:szCs w:val="22"/>
              </w:rPr>
              <w:t xml:space="preserve"> </w:t>
            </w:r>
            <w:r>
              <w:rPr>
                <w:rFonts w:asciiTheme="majorHAnsi" w:hAnsiTheme="majorHAnsi"/>
                <w:sz w:val="22"/>
                <w:szCs w:val="22"/>
              </w:rPr>
              <w:t>(</w:t>
            </w:r>
            <w:r w:rsidRPr="006E79EC">
              <w:rPr>
                <w:rFonts w:asciiTheme="majorHAnsi" w:hAnsiTheme="majorHAnsi"/>
                <w:sz w:val="22"/>
                <w:szCs w:val="22"/>
              </w:rPr>
              <w:t>2011</w:t>
            </w:r>
            <w:r>
              <w:rPr>
                <w:rFonts w:asciiTheme="majorHAnsi" w:hAnsiTheme="majorHAnsi"/>
                <w:sz w:val="22"/>
                <w:szCs w:val="22"/>
              </w:rPr>
              <w:t xml:space="preserve">). </w:t>
            </w:r>
            <w:r w:rsidRPr="006E79EC">
              <w:rPr>
                <w:rFonts w:asciiTheme="majorHAnsi" w:hAnsiTheme="majorHAnsi"/>
                <w:sz w:val="22"/>
                <w:szCs w:val="22"/>
              </w:rPr>
              <w:t>Interviewing people about potentially sensitive topics</w:t>
            </w:r>
            <w:r>
              <w:rPr>
                <w:rFonts w:asciiTheme="majorHAnsi" w:hAnsiTheme="majorHAnsi"/>
                <w:sz w:val="22"/>
                <w:szCs w:val="22"/>
              </w:rPr>
              <w:t xml:space="preserve">. </w:t>
            </w:r>
            <w:r w:rsidRPr="006E79EC">
              <w:rPr>
                <w:rFonts w:asciiTheme="majorHAnsi" w:hAnsiTheme="majorHAnsi"/>
                <w:sz w:val="22"/>
                <w:szCs w:val="22"/>
              </w:rPr>
              <w:t>Nurse Researcher, 19, 12-</w:t>
            </w:r>
            <w:proofErr w:type="gramStart"/>
            <w:r w:rsidRPr="006E79EC">
              <w:rPr>
                <w:rFonts w:asciiTheme="majorHAnsi" w:hAnsiTheme="majorHAnsi"/>
                <w:sz w:val="22"/>
                <w:szCs w:val="22"/>
              </w:rPr>
              <w:t>16.</w:t>
            </w:r>
            <w:r w:rsidR="00E60443">
              <w:rPr>
                <w:rFonts w:asciiTheme="majorHAnsi" w:hAnsiTheme="majorHAnsi"/>
                <w:sz w:val="22"/>
                <w:szCs w:val="22"/>
              </w:rPr>
              <w:t>s</w:t>
            </w:r>
            <w:proofErr w:type="gramEnd"/>
          </w:p>
        </w:tc>
      </w:tr>
      <w:tr w:rsidR="003414BD" w:rsidRPr="00C72BEC" w14:paraId="18CF4532" w14:textId="77777777" w:rsidTr="00714C3B">
        <w:trPr>
          <w:trHeight w:val="369"/>
        </w:trPr>
        <w:tc>
          <w:tcPr>
            <w:tcW w:w="1809" w:type="dxa"/>
            <w:shd w:val="clear" w:color="auto" w:fill="D9D9D9" w:themeFill="background1" w:themeFillShade="D9"/>
          </w:tcPr>
          <w:p w14:paraId="1EC7AF8A" w14:textId="2AA6C817"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Iterative probes about details over time</w:t>
            </w:r>
          </w:p>
        </w:tc>
        <w:tc>
          <w:tcPr>
            <w:tcW w:w="3530" w:type="dxa"/>
            <w:shd w:val="clear" w:color="auto" w:fill="D9D9D9" w:themeFill="background1" w:themeFillShade="D9"/>
          </w:tcPr>
          <w:p w14:paraId="6DA5F0B6" w14:textId="5B56ED3A"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Researchers could probe some topic several times during an interview, striving to elicit more details.  As they garner more information, the researchers might detect clarifications and even contradictions inaccuracies—and may even discard suspect data</w:t>
            </w:r>
          </w:p>
        </w:tc>
        <w:tc>
          <w:tcPr>
            <w:tcW w:w="3091" w:type="dxa"/>
            <w:shd w:val="clear" w:color="auto" w:fill="D9D9D9" w:themeFill="background1" w:themeFillShade="D9"/>
          </w:tcPr>
          <w:p w14:paraId="30D79FDD" w14:textId="77777777" w:rsidR="003414BD" w:rsidRDefault="003414BD" w:rsidP="002472C4">
            <w:pPr>
              <w:pStyle w:val="ListParagraph"/>
              <w:numPr>
                <w:ilvl w:val="0"/>
                <w:numId w:val="17"/>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2f</w:t>
            </w:r>
          </w:p>
          <w:p w14:paraId="12105D12" w14:textId="77777777" w:rsidR="003414BD" w:rsidRDefault="003414BD" w:rsidP="002472C4">
            <w:pPr>
              <w:spacing w:line="276" w:lineRule="auto"/>
              <w:rPr>
                <w:rFonts w:asciiTheme="majorHAnsi" w:hAnsiTheme="majorHAnsi"/>
                <w:sz w:val="22"/>
                <w:szCs w:val="22"/>
              </w:rPr>
            </w:pPr>
          </w:p>
        </w:tc>
      </w:tr>
      <w:tr w:rsidR="003414BD" w:rsidRPr="00C72BEC" w14:paraId="4E0022D5" w14:textId="4DC9D1A3" w:rsidTr="00714C3B">
        <w:trPr>
          <w:trHeight w:val="369"/>
        </w:trPr>
        <w:tc>
          <w:tcPr>
            <w:tcW w:w="1809" w:type="dxa"/>
            <w:shd w:val="clear" w:color="auto" w:fill="D9D9D9" w:themeFill="background1" w:themeFillShade="D9"/>
          </w:tcPr>
          <w:p w14:paraId="3AE472DF" w14:textId="46D15033"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lastRenderedPageBreak/>
              <w:t>Transcription checks</w:t>
            </w:r>
          </w:p>
        </w:tc>
        <w:tc>
          <w:tcPr>
            <w:tcW w:w="3530" w:type="dxa"/>
            <w:shd w:val="clear" w:color="auto" w:fill="D9D9D9" w:themeFill="background1" w:themeFillShade="D9"/>
          </w:tcPr>
          <w:p w14:paraId="6917B824" w14:textId="4D412DFC"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To assess whether the transcription was accurate, the researcher has </w:t>
            </w:r>
            <w:r w:rsidRPr="00D575F5">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assessed whether random samples of the audio data match the transcription.  </w:t>
            </w:r>
          </w:p>
        </w:tc>
        <w:tc>
          <w:tcPr>
            <w:tcW w:w="3091" w:type="dxa"/>
            <w:shd w:val="clear" w:color="auto" w:fill="D9D9D9" w:themeFill="background1" w:themeFillShade="D9"/>
          </w:tcPr>
          <w:p w14:paraId="527C3015" w14:textId="588E0658" w:rsidR="003414BD" w:rsidRPr="003D405B" w:rsidRDefault="003414BD" w:rsidP="002472C4">
            <w:pPr>
              <w:spacing w:line="276" w:lineRule="auto"/>
              <w:rPr>
                <w:rFonts w:asciiTheme="majorHAnsi" w:hAnsiTheme="majorHAnsi"/>
                <w:sz w:val="22"/>
                <w:szCs w:val="22"/>
              </w:rPr>
            </w:pPr>
            <w:r>
              <w:rPr>
                <w:rFonts w:asciiTheme="majorHAnsi" w:hAnsiTheme="majorHAnsi"/>
                <w:sz w:val="22"/>
                <w:szCs w:val="22"/>
              </w:rPr>
              <w:t>See Braun &amp; Clarke</w:t>
            </w:r>
            <w:r w:rsidRPr="00880363">
              <w:rPr>
                <w:rFonts w:asciiTheme="majorHAnsi" w:hAnsiTheme="majorHAnsi"/>
                <w:sz w:val="22"/>
                <w:szCs w:val="22"/>
              </w:rPr>
              <w:t xml:space="preserve"> (2006</w:t>
            </w:r>
            <w:r>
              <w:rPr>
                <w:rFonts w:asciiTheme="majorHAnsi" w:hAnsiTheme="majorHAnsi"/>
                <w:sz w:val="22"/>
                <w:szCs w:val="22"/>
              </w:rPr>
              <w:t>), Table 2, Item 1</w:t>
            </w:r>
          </w:p>
        </w:tc>
      </w:tr>
    </w:tbl>
    <w:p w14:paraId="2A403F15" w14:textId="77777777" w:rsidR="00FF53BF" w:rsidRDefault="00FF53BF" w:rsidP="00FF53BF">
      <w:pPr>
        <w:spacing w:line="276" w:lineRule="auto"/>
        <w:ind w:left="1985"/>
        <w:rPr>
          <w:rFonts w:asciiTheme="majorHAnsi" w:hAnsiTheme="majorHAnsi" w:cs="Arial"/>
          <w:noProof/>
          <w:color w:val="000000" w:themeColor="text1"/>
          <w:sz w:val="22"/>
          <w:szCs w:val="22"/>
        </w:rPr>
      </w:pPr>
    </w:p>
    <w:p w14:paraId="146E9849" w14:textId="77777777" w:rsidR="00B90752" w:rsidRDefault="00B90752" w:rsidP="00B91103">
      <w:pPr>
        <w:spacing w:line="276" w:lineRule="auto"/>
        <w:ind w:left="1985"/>
        <w:rPr>
          <w:rFonts w:asciiTheme="majorHAnsi" w:hAnsiTheme="majorHAnsi" w:cs="Arial"/>
          <w:b/>
          <w:noProof/>
          <w:color w:val="000000" w:themeColor="text1"/>
          <w:sz w:val="22"/>
          <w:szCs w:val="22"/>
        </w:rPr>
      </w:pPr>
    </w:p>
    <w:p w14:paraId="0D0E8290" w14:textId="77777777" w:rsidR="00B90752" w:rsidRDefault="00B90752" w:rsidP="00B91103">
      <w:pPr>
        <w:spacing w:line="276" w:lineRule="auto"/>
        <w:ind w:left="1985"/>
        <w:rPr>
          <w:rFonts w:asciiTheme="majorHAnsi" w:hAnsiTheme="majorHAnsi" w:cs="Arial"/>
          <w:b/>
          <w:noProof/>
          <w:color w:val="000000" w:themeColor="text1"/>
          <w:sz w:val="22"/>
          <w:szCs w:val="22"/>
        </w:rPr>
      </w:pPr>
    </w:p>
    <w:p w14:paraId="1C0E7293" w14:textId="71D4D579" w:rsidR="00FF53BF" w:rsidRDefault="003414BD" w:rsidP="00B91103">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Data analysis and interpretation</w:t>
      </w:r>
    </w:p>
    <w:p w14:paraId="5AF176A5" w14:textId="77777777" w:rsidR="00516A7B" w:rsidRDefault="003414BD" w:rsidP="003414BD">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ab/>
      </w:r>
    </w:p>
    <w:p w14:paraId="2B5B0017" w14:textId="4D4B4060" w:rsidR="003414BD" w:rsidRPr="003414BD" w:rsidRDefault="003414BD" w:rsidP="00516A7B">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second set of techniques and practices tend to revolve around the coding and interpretation of data.</w:t>
      </w:r>
    </w:p>
    <w:p w14:paraId="098E18D3" w14:textId="77777777" w:rsidR="003414BD" w:rsidRDefault="003414BD" w:rsidP="00B91103">
      <w:pPr>
        <w:spacing w:line="276" w:lineRule="auto"/>
        <w:ind w:left="1985"/>
        <w:rPr>
          <w:rFonts w:asciiTheme="majorHAnsi" w:hAnsiTheme="majorHAnsi" w:cs="Arial"/>
          <w:b/>
          <w:noProof/>
          <w:color w:val="000000" w:themeColor="text1"/>
          <w:sz w:val="22"/>
          <w:szCs w:val="22"/>
        </w:rPr>
      </w:pPr>
    </w:p>
    <w:p w14:paraId="6FBDD049" w14:textId="77777777" w:rsidR="003414BD" w:rsidRPr="00714C3B" w:rsidRDefault="003414BD" w:rsidP="00B90752">
      <w:pPr>
        <w:spacing w:line="276" w:lineRule="auto"/>
        <w:rPr>
          <w:rFonts w:asciiTheme="majorHAnsi" w:hAnsiTheme="majorHAnsi" w:cs="Arial"/>
          <w:b/>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3530"/>
        <w:gridCol w:w="3091"/>
      </w:tblGrid>
      <w:tr w:rsidR="003414BD" w:rsidRPr="00C72BEC" w14:paraId="31A89EA8" w14:textId="77777777" w:rsidTr="002472C4">
        <w:trPr>
          <w:trHeight w:val="355"/>
        </w:trPr>
        <w:tc>
          <w:tcPr>
            <w:tcW w:w="1809" w:type="dxa"/>
            <w:shd w:val="clear" w:color="auto" w:fill="B6DDE8" w:themeFill="accent5" w:themeFillTint="66"/>
          </w:tcPr>
          <w:p w14:paraId="5FEC7BC6" w14:textId="77777777" w:rsidR="003414BD" w:rsidRPr="00C72BEC" w:rsidRDefault="003414BD" w:rsidP="002472C4">
            <w:pPr>
              <w:spacing w:line="276" w:lineRule="auto"/>
              <w:jc w:val="center"/>
              <w:rPr>
                <w:rFonts w:asciiTheme="majorHAnsi" w:hAnsiTheme="majorHAnsi"/>
                <w:b/>
                <w:sz w:val="22"/>
                <w:szCs w:val="22"/>
                <w:lang w:val="en-AU"/>
              </w:rPr>
            </w:pPr>
            <w:r>
              <w:rPr>
                <w:rFonts w:asciiTheme="majorHAnsi" w:hAnsiTheme="majorHAnsi"/>
                <w:sz w:val="22"/>
                <w:szCs w:val="22"/>
              </w:rPr>
              <w:t>Practice or criterion</w:t>
            </w:r>
          </w:p>
        </w:tc>
        <w:tc>
          <w:tcPr>
            <w:tcW w:w="3530" w:type="dxa"/>
            <w:shd w:val="clear" w:color="auto" w:fill="B6DDE8" w:themeFill="accent5" w:themeFillTint="66"/>
          </w:tcPr>
          <w:p w14:paraId="0E55537E" w14:textId="77777777" w:rsidR="003414BD" w:rsidRDefault="003414BD" w:rsidP="002472C4">
            <w:pPr>
              <w:spacing w:line="276" w:lineRule="auto"/>
              <w:jc w:val="center"/>
              <w:rPr>
                <w:rFonts w:asciiTheme="majorHAnsi" w:hAnsiTheme="majorHAnsi"/>
                <w:sz w:val="22"/>
                <w:szCs w:val="22"/>
              </w:rPr>
            </w:pPr>
            <w:r>
              <w:rPr>
                <w:rFonts w:asciiTheme="majorHAnsi" w:hAnsiTheme="majorHAnsi"/>
                <w:sz w:val="22"/>
                <w:szCs w:val="22"/>
              </w:rPr>
              <w:t>Description</w:t>
            </w:r>
          </w:p>
        </w:tc>
        <w:tc>
          <w:tcPr>
            <w:tcW w:w="3091" w:type="dxa"/>
            <w:shd w:val="clear" w:color="auto" w:fill="B6DDE8" w:themeFill="accent5" w:themeFillTint="66"/>
          </w:tcPr>
          <w:p w14:paraId="7A70C636" w14:textId="77777777" w:rsidR="003414BD" w:rsidRDefault="003414BD" w:rsidP="002472C4">
            <w:pPr>
              <w:spacing w:line="276" w:lineRule="auto"/>
              <w:jc w:val="center"/>
              <w:rPr>
                <w:rFonts w:asciiTheme="majorHAnsi" w:hAnsiTheme="majorHAnsi"/>
                <w:sz w:val="22"/>
                <w:szCs w:val="22"/>
              </w:rPr>
            </w:pPr>
            <w:r>
              <w:rPr>
                <w:rFonts w:asciiTheme="majorHAnsi" w:hAnsiTheme="majorHAnsi"/>
                <w:sz w:val="22"/>
                <w:szCs w:val="22"/>
              </w:rPr>
              <w:t xml:space="preserve">Caveats, references, </w:t>
            </w:r>
          </w:p>
          <w:p w14:paraId="537103B8" w14:textId="77777777" w:rsidR="003414BD" w:rsidRDefault="003414BD" w:rsidP="002472C4">
            <w:pPr>
              <w:spacing w:line="276" w:lineRule="auto"/>
              <w:jc w:val="center"/>
              <w:rPr>
                <w:rFonts w:asciiTheme="majorHAnsi" w:hAnsiTheme="majorHAnsi"/>
                <w:sz w:val="22"/>
                <w:szCs w:val="22"/>
              </w:rPr>
            </w:pPr>
            <w:r>
              <w:rPr>
                <w:rFonts w:asciiTheme="majorHAnsi" w:hAnsiTheme="majorHAnsi"/>
                <w:sz w:val="22"/>
                <w:szCs w:val="22"/>
              </w:rPr>
              <w:t>and other details</w:t>
            </w:r>
          </w:p>
        </w:tc>
      </w:tr>
      <w:tr w:rsidR="003414BD" w:rsidRPr="00C72BEC" w14:paraId="5BC75ADB" w14:textId="77777777" w:rsidTr="002472C4">
        <w:trPr>
          <w:trHeight w:val="369"/>
        </w:trPr>
        <w:tc>
          <w:tcPr>
            <w:tcW w:w="1809" w:type="dxa"/>
            <w:shd w:val="clear" w:color="auto" w:fill="D9D9D9" w:themeFill="background1" w:themeFillShade="D9"/>
          </w:tcPr>
          <w:p w14:paraId="4327A296" w14:textId="170BC5DF" w:rsidR="003414BD"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Uniform attention</w:t>
            </w:r>
          </w:p>
        </w:tc>
        <w:tc>
          <w:tcPr>
            <w:tcW w:w="3530" w:type="dxa"/>
            <w:shd w:val="clear" w:color="auto" w:fill="D9D9D9" w:themeFill="background1" w:themeFillShade="D9"/>
          </w:tcPr>
          <w:p w14:paraId="629525F0" w14:textId="1B10E867" w:rsidR="003414BD" w:rsidRPr="003D405B" w:rsidRDefault="003414BD" w:rsidP="002472C4">
            <w:pPr>
              <w:spacing w:line="276" w:lineRule="auto"/>
              <w:rPr>
                <w:rFonts w:asciiTheme="majorHAnsi" w:hAnsiTheme="majorHAnsi"/>
                <w:sz w:val="22"/>
                <w:szCs w:val="22"/>
              </w:rPr>
            </w:pPr>
            <w:r>
              <w:rPr>
                <w:rFonts w:asciiTheme="majorHAnsi" w:hAnsiTheme="majorHAnsi"/>
                <w:sz w:val="22"/>
                <w:szCs w:val="22"/>
              </w:rPr>
              <w:t xml:space="preserve">While coding, each chunk of data—such as every answer or sentence that participants articulate—receive equal attention, at least initially. That is, the researcher does not devote more time and effort to responses that match their initial preconceptions or assumptions. </w:t>
            </w:r>
          </w:p>
        </w:tc>
        <w:tc>
          <w:tcPr>
            <w:tcW w:w="3091" w:type="dxa"/>
            <w:shd w:val="clear" w:color="auto" w:fill="D9D9D9" w:themeFill="background1" w:themeFillShade="D9"/>
          </w:tcPr>
          <w:p w14:paraId="0EDD530A" w14:textId="72B069D8" w:rsidR="003414BD" w:rsidRDefault="003414BD" w:rsidP="002472C4">
            <w:pPr>
              <w:spacing w:line="276" w:lineRule="auto"/>
              <w:rPr>
                <w:rFonts w:asciiTheme="majorHAnsi" w:hAnsiTheme="majorHAnsi"/>
                <w:sz w:val="22"/>
                <w:szCs w:val="22"/>
              </w:rPr>
            </w:pPr>
            <w:r>
              <w:rPr>
                <w:rFonts w:asciiTheme="majorHAnsi" w:hAnsiTheme="majorHAnsi"/>
                <w:sz w:val="22"/>
                <w:szCs w:val="22"/>
              </w:rPr>
              <w:t>See Braun &amp; Clarke</w:t>
            </w:r>
            <w:r w:rsidRPr="00880363">
              <w:rPr>
                <w:rFonts w:asciiTheme="majorHAnsi" w:hAnsiTheme="majorHAnsi"/>
                <w:sz w:val="22"/>
                <w:szCs w:val="22"/>
              </w:rPr>
              <w:t xml:space="preserve"> (2006</w:t>
            </w:r>
            <w:r>
              <w:rPr>
                <w:rFonts w:asciiTheme="majorHAnsi" w:hAnsiTheme="majorHAnsi"/>
                <w:sz w:val="22"/>
                <w:szCs w:val="22"/>
              </w:rPr>
              <w:t>), Table 2, Item 2</w:t>
            </w:r>
          </w:p>
        </w:tc>
      </w:tr>
      <w:tr w:rsidR="003414BD" w:rsidRPr="00C72BEC" w14:paraId="771E8D3E" w14:textId="77777777" w:rsidTr="002472C4">
        <w:trPr>
          <w:trHeight w:val="369"/>
        </w:trPr>
        <w:tc>
          <w:tcPr>
            <w:tcW w:w="1809" w:type="dxa"/>
            <w:shd w:val="clear" w:color="auto" w:fill="D9D9D9" w:themeFill="background1" w:themeFillShade="D9"/>
          </w:tcPr>
          <w:p w14:paraId="09F5748E" w14:textId="653FA8C9"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Broadness of themes or categories</w:t>
            </w:r>
          </w:p>
        </w:tc>
        <w:tc>
          <w:tcPr>
            <w:tcW w:w="3530" w:type="dxa"/>
            <w:shd w:val="clear" w:color="auto" w:fill="D9D9D9" w:themeFill="background1" w:themeFillShade="D9"/>
          </w:tcPr>
          <w:p w14:paraId="28851BC4" w14:textId="315D60EE"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The themes or categories should entail a large proportion of the data or codes; the themes or categories are not merely derived from a few striking examples or codes.  Indeed, researchers should conduct negative case analysis—in which they seek data or code that do not match the existing themes or categories. They could then refine the themes or categories accordingly.  </w:t>
            </w:r>
          </w:p>
        </w:tc>
        <w:tc>
          <w:tcPr>
            <w:tcW w:w="3091" w:type="dxa"/>
            <w:shd w:val="clear" w:color="auto" w:fill="D9D9D9" w:themeFill="background1" w:themeFillShade="D9"/>
          </w:tcPr>
          <w:p w14:paraId="5345B66A" w14:textId="77777777" w:rsidR="00F13BD1" w:rsidRDefault="003414BD" w:rsidP="002472C4">
            <w:pPr>
              <w:pStyle w:val="ListParagraph"/>
              <w:numPr>
                <w:ilvl w:val="0"/>
                <w:numId w:val="18"/>
              </w:numPr>
              <w:spacing w:line="276" w:lineRule="auto"/>
              <w:rPr>
                <w:rFonts w:asciiTheme="majorHAnsi" w:hAnsiTheme="majorHAnsi"/>
                <w:sz w:val="22"/>
                <w:szCs w:val="22"/>
              </w:rPr>
            </w:pPr>
            <w:r w:rsidRPr="00F42640">
              <w:rPr>
                <w:rFonts w:asciiTheme="majorHAnsi" w:hAnsiTheme="majorHAnsi"/>
                <w:sz w:val="22"/>
                <w:szCs w:val="22"/>
              </w:rPr>
              <w:t>See Braun &amp; Clarke (2006), Table 2, Item 3</w:t>
            </w:r>
          </w:p>
          <w:p w14:paraId="1587002D" w14:textId="3473F22D" w:rsidR="003414BD" w:rsidRPr="00F13BD1" w:rsidRDefault="003414BD" w:rsidP="002472C4">
            <w:pPr>
              <w:pStyle w:val="ListParagraph"/>
              <w:numPr>
                <w:ilvl w:val="0"/>
                <w:numId w:val="18"/>
              </w:numPr>
              <w:spacing w:line="276" w:lineRule="auto"/>
              <w:rPr>
                <w:rFonts w:asciiTheme="majorHAnsi" w:hAnsiTheme="majorHAnsi"/>
                <w:sz w:val="22"/>
                <w:szCs w:val="22"/>
              </w:rPr>
            </w:pPr>
            <w:r w:rsidRPr="00F13BD1">
              <w:rPr>
                <w:rFonts w:asciiTheme="majorHAnsi" w:hAnsiTheme="majorHAnsi"/>
                <w:sz w:val="22"/>
                <w:szCs w:val="22"/>
              </w:rPr>
              <w:t>Cite Miles &amp; Huberman, (1994)</w:t>
            </w:r>
          </w:p>
        </w:tc>
      </w:tr>
      <w:tr w:rsidR="00635E12" w:rsidRPr="00C72BEC" w14:paraId="51CB6AF6" w14:textId="77777777" w:rsidTr="002472C4">
        <w:trPr>
          <w:trHeight w:val="369"/>
        </w:trPr>
        <w:tc>
          <w:tcPr>
            <w:tcW w:w="1809" w:type="dxa"/>
            <w:shd w:val="clear" w:color="auto" w:fill="D9D9D9" w:themeFill="background1" w:themeFillShade="D9"/>
          </w:tcPr>
          <w:p w14:paraId="6F2A1C9C" w14:textId="03D33A1C" w:rsidR="00635E12" w:rsidRDefault="00635E12"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Multiple researchers</w:t>
            </w:r>
          </w:p>
        </w:tc>
        <w:tc>
          <w:tcPr>
            <w:tcW w:w="3530" w:type="dxa"/>
            <w:shd w:val="clear" w:color="auto" w:fill="D9D9D9" w:themeFill="background1" w:themeFillShade="D9"/>
          </w:tcPr>
          <w:p w14:paraId="3D988887" w14:textId="5968F65F" w:rsidR="00635E12" w:rsidRDefault="00635E12"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More than one researcher can participate in coding and translating codes to themes, categories, or conclusions.  </w:t>
            </w:r>
          </w:p>
        </w:tc>
        <w:tc>
          <w:tcPr>
            <w:tcW w:w="3091" w:type="dxa"/>
            <w:shd w:val="clear" w:color="auto" w:fill="D9D9D9" w:themeFill="background1" w:themeFillShade="D9"/>
          </w:tcPr>
          <w:p w14:paraId="1FBA86A0" w14:textId="77777777" w:rsidR="00635E12" w:rsidRPr="00F42640" w:rsidRDefault="00635E12" w:rsidP="002472C4">
            <w:pPr>
              <w:pStyle w:val="ListParagraph"/>
              <w:numPr>
                <w:ilvl w:val="0"/>
                <w:numId w:val="18"/>
              </w:numPr>
              <w:spacing w:line="276" w:lineRule="auto"/>
              <w:rPr>
                <w:rFonts w:asciiTheme="majorHAnsi" w:hAnsiTheme="majorHAnsi"/>
                <w:sz w:val="22"/>
                <w:szCs w:val="22"/>
              </w:rPr>
            </w:pPr>
          </w:p>
        </w:tc>
      </w:tr>
    </w:tbl>
    <w:p w14:paraId="6A6335BE" w14:textId="489CBBAC" w:rsidR="003414BD" w:rsidRDefault="003414BD" w:rsidP="00B91103">
      <w:pPr>
        <w:spacing w:line="276" w:lineRule="auto"/>
        <w:ind w:left="1985"/>
        <w:rPr>
          <w:rFonts w:asciiTheme="majorHAnsi" w:hAnsiTheme="majorHAnsi" w:cs="Arial"/>
          <w:b/>
          <w:noProof/>
          <w:color w:val="000000" w:themeColor="text1"/>
          <w:sz w:val="22"/>
          <w:szCs w:val="22"/>
        </w:rPr>
      </w:pPr>
    </w:p>
    <w:p w14:paraId="3FD882EB" w14:textId="70234C42" w:rsidR="00B90752" w:rsidRDefault="00B90752" w:rsidP="00B91103">
      <w:pPr>
        <w:spacing w:line="276" w:lineRule="auto"/>
        <w:ind w:left="1985"/>
        <w:rPr>
          <w:rFonts w:asciiTheme="majorHAnsi" w:hAnsiTheme="majorHAnsi" w:cs="Arial"/>
          <w:b/>
          <w:noProof/>
          <w:color w:val="000000" w:themeColor="text1"/>
          <w:sz w:val="22"/>
          <w:szCs w:val="22"/>
        </w:rPr>
      </w:pPr>
    </w:p>
    <w:p w14:paraId="1531667B" w14:textId="233542BE" w:rsidR="00B90752" w:rsidRDefault="00B90752" w:rsidP="00B91103">
      <w:pPr>
        <w:spacing w:line="276" w:lineRule="auto"/>
        <w:ind w:left="1985"/>
        <w:rPr>
          <w:rFonts w:asciiTheme="majorHAnsi" w:hAnsiTheme="majorHAnsi" w:cs="Arial"/>
          <w:b/>
          <w:noProof/>
          <w:color w:val="000000" w:themeColor="text1"/>
          <w:sz w:val="22"/>
          <w:szCs w:val="22"/>
        </w:rPr>
      </w:pPr>
    </w:p>
    <w:p w14:paraId="4D4E467E" w14:textId="77777777" w:rsidR="00B90752" w:rsidRPr="003414BD" w:rsidRDefault="00B90752" w:rsidP="00B91103">
      <w:pPr>
        <w:spacing w:line="276" w:lineRule="auto"/>
        <w:ind w:left="1985"/>
        <w:rPr>
          <w:rFonts w:asciiTheme="majorHAnsi" w:hAnsiTheme="majorHAnsi" w:cs="Arial"/>
          <w:b/>
          <w:noProof/>
          <w:color w:val="000000" w:themeColor="text1"/>
          <w:sz w:val="22"/>
          <w:szCs w:val="22"/>
        </w:rPr>
      </w:pPr>
    </w:p>
    <w:p w14:paraId="58C0C278" w14:textId="77777777" w:rsidR="001273C8" w:rsidRDefault="001273C8" w:rsidP="00B91103">
      <w:pPr>
        <w:spacing w:line="276" w:lineRule="auto"/>
        <w:ind w:left="1985"/>
        <w:rPr>
          <w:rFonts w:asciiTheme="majorHAnsi" w:hAnsiTheme="majorHAnsi" w:cs="Arial"/>
          <w:b/>
          <w:noProof/>
          <w:color w:val="000000" w:themeColor="text1"/>
          <w:sz w:val="22"/>
          <w:szCs w:val="22"/>
        </w:rPr>
      </w:pPr>
    </w:p>
    <w:p w14:paraId="7E1A174E" w14:textId="00B38EAE" w:rsidR="003414BD" w:rsidRDefault="003414BD" w:rsidP="00B91103">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Project management</w:t>
      </w:r>
    </w:p>
    <w:p w14:paraId="03755DD1" w14:textId="77777777" w:rsidR="00B90752" w:rsidRDefault="00B90752" w:rsidP="00B91103">
      <w:pPr>
        <w:spacing w:line="276" w:lineRule="auto"/>
        <w:ind w:left="1985"/>
        <w:rPr>
          <w:rFonts w:asciiTheme="majorHAnsi" w:hAnsiTheme="majorHAnsi" w:cs="Arial"/>
          <w:b/>
          <w:noProof/>
          <w:color w:val="000000" w:themeColor="text1"/>
          <w:sz w:val="22"/>
          <w:szCs w:val="22"/>
        </w:rPr>
      </w:pPr>
    </w:p>
    <w:p w14:paraId="712AC99F" w14:textId="225145B4" w:rsidR="003414BD" w:rsidRPr="003414BD" w:rsidRDefault="003414BD" w:rsidP="00B91103">
      <w:pPr>
        <w:spacing w:line="276" w:lineRule="auto"/>
        <w:ind w:left="1985"/>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b/>
      </w:r>
      <w:r>
        <w:rPr>
          <w:rFonts w:asciiTheme="majorHAnsi" w:hAnsiTheme="majorHAnsi" w:cs="Arial"/>
          <w:noProof/>
          <w:color w:val="000000" w:themeColor="text1"/>
          <w:sz w:val="22"/>
          <w:szCs w:val="22"/>
        </w:rPr>
        <w:t xml:space="preserve">The third set of techniques and practices tend to revolve around the management of these projects, including preparation, recruitment, and evaluation of the procedures. </w:t>
      </w:r>
    </w:p>
    <w:p w14:paraId="0A54C589" w14:textId="77777777" w:rsidR="003414BD" w:rsidRDefault="003414BD" w:rsidP="00B91103">
      <w:pPr>
        <w:spacing w:line="276" w:lineRule="auto"/>
        <w:ind w:left="1985"/>
        <w:rPr>
          <w:rFonts w:asciiTheme="majorHAnsi" w:hAnsiTheme="majorHAnsi" w:cs="Arial"/>
          <w:b/>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3530"/>
        <w:gridCol w:w="3091"/>
      </w:tblGrid>
      <w:tr w:rsidR="001273C8" w:rsidRPr="00C72BEC" w14:paraId="1B5F6CD7" w14:textId="77777777" w:rsidTr="002472C4">
        <w:trPr>
          <w:trHeight w:val="355"/>
        </w:trPr>
        <w:tc>
          <w:tcPr>
            <w:tcW w:w="1809" w:type="dxa"/>
            <w:shd w:val="clear" w:color="auto" w:fill="B6DDE8" w:themeFill="accent5" w:themeFillTint="66"/>
          </w:tcPr>
          <w:p w14:paraId="46D7379B" w14:textId="77777777" w:rsidR="001273C8" w:rsidRPr="00C72BEC" w:rsidRDefault="001273C8" w:rsidP="002472C4">
            <w:pPr>
              <w:spacing w:line="276" w:lineRule="auto"/>
              <w:jc w:val="center"/>
              <w:rPr>
                <w:rFonts w:asciiTheme="majorHAnsi" w:hAnsiTheme="majorHAnsi"/>
                <w:b/>
                <w:sz w:val="22"/>
                <w:szCs w:val="22"/>
                <w:lang w:val="en-AU"/>
              </w:rPr>
            </w:pPr>
            <w:r>
              <w:rPr>
                <w:rFonts w:asciiTheme="majorHAnsi" w:hAnsiTheme="majorHAnsi"/>
                <w:sz w:val="22"/>
                <w:szCs w:val="22"/>
              </w:rPr>
              <w:t>Practice or criterion</w:t>
            </w:r>
          </w:p>
        </w:tc>
        <w:tc>
          <w:tcPr>
            <w:tcW w:w="3530" w:type="dxa"/>
            <w:shd w:val="clear" w:color="auto" w:fill="B6DDE8" w:themeFill="accent5" w:themeFillTint="66"/>
          </w:tcPr>
          <w:p w14:paraId="497D1717" w14:textId="77777777" w:rsidR="001273C8" w:rsidRDefault="001273C8" w:rsidP="002472C4">
            <w:pPr>
              <w:spacing w:line="276" w:lineRule="auto"/>
              <w:jc w:val="center"/>
              <w:rPr>
                <w:rFonts w:asciiTheme="majorHAnsi" w:hAnsiTheme="majorHAnsi"/>
                <w:sz w:val="22"/>
                <w:szCs w:val="22"/>
              </w:rPr>
            </w:pPr>
            <w:r>
              <w:rPr>
                <w:rFonts w:asciiTheme="majorHAnsi" w:hAnsiTheme="majorHAnsi"/>
                <w:sz w:val="22"/>
                <w:szCs w:val="22"/>
              </w:rPr>
              <w:t>Description</w:t>
            </w:r>
          </w:p>
        </w:tc>
        <w:tc>
          <w:tcPr>
            <w:tcW w:w="3091" w:type="dxa"/>
            <w:shd w:val="clear" w:color="auto" w:fill="B6DDE8" w:themeFill="accent5" w:themeFillTint="66"/>
          </w:tcPr>
          <w:p w14:paraId="5EEBA8C4" w14:textId="77777777" w:rsidR="001273C8" w:rsidRDefault="001273C8" w:rsidP="002472C4">
            <w:pPr>
              <w:spacing w:line="276" w:lineRule="auto"/>
              <w:jc w:val="center"/>
              <w:rPr>
                <w:rFonts w:asciiTheme="majorHAnsi" w:hAnsiTheme="majorHAnsi"/>
                <w:sz w:val="22"/>
                <w:szCs w:val="22"/>
              </w:rPr>
            </w:pPr>
            <w:r>
              <w:rPr>
                <w:rFonts w:asciiTheme="majorHAnsi" w:hAnsiTheme="majorHAnsi"/>
                <w:sz w:val="22"/>
                <w:szCs w:val="22"/>
              </w:rPr>
              <w:t xml:space="preserve">Caveats, references, </w:t>
            </w:r>
          </w:p>
          <w:p w14:paraId="11B65820" w14:textId="77777777" w:rsidR="001273C8" w:rsidRDefault="001273C8" w:rsidP="002472C4">
            <w:pPr>
              <w:spacing w:line="276" w:lineRule="auto"/>
              <w:jc w:val="center"/>
              <w:rPr>
                <w:rFonts w:asciiTheme="majorHAnsi" w:hAnsiTheme="majorHAnsi"/>
                <w:sz w:val="22"/>
                <w:szCs w:val="22"/>
              </w:rPr>
            </w:pPr>
            <w:r>
              <w:rPr>
                <w:rFonts w:asciiTheme="majorHAnsi" w:hAnsiTheme="majorHAnsi"/>
                <w:sz w:val="22"/>
                <w:szCs w:val="22"/>
              </w:rPr>
              <w:t>and other details</w:t>
            </w:r>
          </w:p>
        </w:tc>
      </w:tr>
      <w:tr w:rsidR="001273C8" w:rsidRPr="00C72BEC" w14:paraId="4E05A3F5" w14:textId="77777777" w:rsidTr="002472C4">
        <w:trPr>
          <w:trHeight w:val="369"/>
        </w:trPr>
        <w:tc>
          <w:tcPr>
            <w:tcW w:w="1809" w:type="dxa"/>
            <w:shd w:val="clear" w:color="auto" w:fill="D9D9D9" w:themeFill="background1" w:themeFillShade="D9"/>
          </w:tcPr>
          <w:p w14:paraId="57D3ED6D" w14:textId="5F6F0F5A" w:rsidR="001273C8" w:rsidRPr="005F4D18" w:rsidRDefault="001273C8"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Audit trail</w:t>
            </w:r>
          </w:p>
        </w:tc>
        <w:tc>
          <w:tcPr>
            <w:tcW w:w="3530" w:type="dxa"/>
            <w:shd w:val="clear" w:color="auto" w:fill="D9D9D9" w:themeFill="background1" w:themeFillShade="D9"/>
          </w:tcPr>
          <w:p w14:paraId="73BD4596" w14:textId="72872F09" w:rsidR="00551895" w:rsidRDefault="00551895"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Construct an account that summarizes all the decisions the researchers reached and the activities they conducted during the study.  This audit trail should include</w:t>
            </w:r>
          </w:p>
          <w:p w14:paraId="4724631B" w14:textId="77777777" w:rsidR="00551895" w:rsidRDefault="00551895" w:rsidP="002472C4">
            <w:pPr>
              <w:spacing w:line="276" w:lineRule="auto"/>
              <w:rPr>
                <w:rFonts w:asciiTheme="majorHAnsi" w:hAnsiTheme="majorHAnsi" w:cs="Arial"/>
                <w:noProof/>
                <w:color w:val="000000" w:themeColor="text1"/>
                <w:sz w:val="22"/>
                <w:szCs w:val="22"/>
              </w:rPr>
            </w:pPr>
          </w:p>
          <w:p w14:paraId="204E4076" w14:textId="45529551" w:rsidR="00551895" w:rsidRDefault="00551895" w:rsidP="00551895">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all raw data that were collected</w:t>
            </w:r>
          </w:p>
          <w:p w14:paraId="232D462E" w14:textId="740689C5" w:rsidR="00551895" w:rsidRDefault="00551895" w:rsidP="00551895">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memos that summarize decisions while con</w:t>
            </w:r>
            <w:r w:rsidR="007B46CE">
              <w:rPr>
                <w:rFonts w:asciiTheme="majorHAnsi" w:hAnsiTheme="majorHAnsi"/>
                <w:sz w:val="22"/>
                <w:szCs w:val="22"/>
              </w:rPr>
              <w:t xml:space="preserve">verting the data into codes, </w:t>
            </w:r>
            <w:r>
              <w:rPr>
                <w:rFonts w:asciiTheme="majorHAnsi" w:hAnsiTheme="majorHAnsi"/>
                <w:sz w:val="22"/>
                <w:szCs w:val="22"/>
              </w:rPr>
              <w:t>themes</w:t>
            </w:r>
            <w:r w:rsidR="007B46CE">
              <w:rPr>
                <w:rFonts w:asciiTheme="majorHAnsi" w:hAnsiTheme="majorHAnsi"/>
                <w:sz w:val="22"/>
                <w:szCs w:val="22"/>
              </w:rPr>
              <w:t>, or categories</w:t>
            </w:r>
          </w:p>
          <w:p w14:paraId="67AC26F0" w14:textId="6AC6EEB9" w:rsidR="00551895" w:rsidRDefault="00551895" w:rsidP="00551895">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memos that summarize how the researchers refined and integrated themes</w:t>
            </w:r>
            <w:r w:rsidR="007B46CE">
              <w:rPr>
                <w:rFonts w:asciiTheme="majorHAnsi" w:hAnsiTheme="majorHAnsi"/>
                <w:sz w:val="22"/>
                <w:szCs w:val="22"/>
              </w:rPr>
              <w:t xml:space="preserve"> or categories</w:t>
            </w:r>
          </w:p>
          <w:p w14:paraId="457446D6" w14:textId="77777777" w:rsidR="00551895" w:rsidRDefault="00551895" w:rsidP="00551895">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research journals that outline the processes the researchers followed, such as who they contacted</w:t>
            </w:r>
          </w:p>
          <w:p w14:paraId="1FE3BA64" w14:textId="77777777" w:rsidR="00551895" w:rsidRDefault="00551895" w:rsidP="00551895">
            <w:pPr>
              <w:pStyle w:val="ListParagraph"/>
              <w:numPr>
                <w:ilvl w:val="0"/>
                <w:numId w:val="15"/>
              </w:numPr>
              <w:spacing w:line="276" w:lineRule="auto"/>
              <w:rPr>
                <w:rFonts w:asciiTheme="majorHAnsi" w:hAnsiTheme="majorHAnsi"/>
                <w:sz w:val="22"/>
                <w:szCs w:val="22"/>
              </w:rPr>
            </w:pPr>
            <w:r>
              <w:rPr>
                <w:rFonts w:asciiTheme="majorHAnsi" w:hAnsiTheme="majorHAnsi"/>
                <w:sz w:val="22"/>
                <w:szCs w:val="22"/>
              </w:rPr>
              <w:t xml:space="preserve">research journals that outline </w:t>
            </w:r>
            <w:r>
              <w:rPr>
                <w:rFonts w:asciiTheme="majorHAnsi" w:hAnsiTheme="majorHAnsi"/>
                <w:sz w:val="22"/>
                <w:szCs w:val="22"/>
              </w:rPr>
              <w:lastRenderedPageBreak/>
              <w:t>personal thoughts, reflections, or insights about the project</w:t>
            </w:r>
          </w:p>
          <w:p w14:paraId="447EB317" w14:textId="77777777" w:rsidR="00C42FFE" w:rsidRDefault="00C42FFE" w:rsidP="00C42FFE">
            <w:pPr>
              <w:spacing w:line="276" w:lineRule="auto"/>
              <w:rPr>
                <w:rFonts w:asciiTheme="majorHAnsi" w:hAnsiTheme="majorHAnsi"/>
                <w:sz w:val="22"/>
                <w:szCs w:val="22"/>
              </w:rPr>
            </w:pPr>
          </w:p>
          <w:p w14:paraId="784843A3" w14:textId="2747ABE6" w:rsidR="00C42FFE" w:rsidRPr="00C42FFE" w:rsidRDefault="00C42FFE" w:rsidP="00C42FFE">
            <w:pPr>
              <w:spacing w:line="276" w:lineRule="auto"/>
              <w:rPr>
                <w:rFonts w:asciiTheme="majorHAnsi" w:hAnsiTheme="majorHAnsi"/>
                <w:sz w:val="22"/>
                <w:szCs w:val="22"/>
              </w:rPr>
            </w:pPr>
            <w:r>
              <w:rPr>
                <w:rFonts w:asciiTheme="majorHAnsi" w:hAnsiTheme="majorHAnsi"/>
                <w:sz w:val="22"/>
                <w:szCs w:val="22"/>
              </w:rPr>
              <w:t>Monitoring changes in the perspectives of researchers over time is called progressive subjectivity</w:t>
            </w:r>
          </w:p>
        </w:tc>
        <w:tc>
          <w:tcPr>
            <w:tcW w:w="3091" w:type="dxa"/>
            <w:shd w:val="clear" w:color="auto" w:fill="D9D9D9" w:themeFill="background1" w:themeFillShade="D9"/>
          </w:tcPr>
          <w:p w14:paraId="0757CAA4" w14:textId="22025D9E" w:rsidR="001273C8" w:rsidRPr="003D405B" w:rsidRDefault="00BA56C3" w:rsidP="00635DFF">
            <w:pPr>
              <w:spacing w:line="276" w:lineRule="auto"/>
              <w:rPr>
                <w:rFonts w:asciiTheme="majorHAnsi" w:hAnsiTheme="majorHAnsi"/>
                <w:sz w:val="22"/>
                <w:szCs w:val="22"/>
              </w:rPr>
            </w:pPr>
            <w:r>
              <w:rPr>
                <w:rFonts w:asciiTheme="majorHAnsi" w:hAnsiTheme="majorHAnsi"/>
                <w:sz w:val="22"/>
                <w:szCs w:val="22"/>
              </w:rPr>
              <w:lastRenderedPageBreak/>
              <w:t>Cite</w:t>
            </w:r>
            <w:r w:rsidR="00635DFF">
              <w:rPr>
                <w:rFonts w:asciiTheme="majorHAnsi" w:hAnsiTheme="majorHAnsi"/>
                <w:sz w:val="22"/>
                <w:szCs w:val="22"/>
              </w:rPr>
              <w:t xml:space="preserve"> </w:t>
            </w:r>
            <w:proofErr w:type="spellStart"/>
            <w:r w:rsidR="00635DFF">
              <w:rPr>
                <w:rFonts w:asciiTheme="majorHAnsi" w:hAnsiTheme="majorHAnsi"/>
                <w:sz w:val="22"/>
                <w:szCs w:val="22"/>
              </w:rPr>
              <w:t>Akkerman</w:t>
            </w:r>
            <w:proofErr w:type="spellEnd"/>
            <w:r w:rsidR="00635DFF">
              <w:rPr>
                <w:rFonts w:asciiTheme="majorHAnsi" w:hAnsiTheme="majorHAnsi"/>
                <w:sz w:val="22"/>
                <w:szCs w:val="22"/>
              </w:rPr>
              <w:t xml:space="preserve"> et al </w:t>
            </w:r>
            <w:r w:rsidR="00635DFF" w:rsidRPr="00635DFF">
              <w:rPr>
                <w:rFonts w:asciiTheme="majorHAnsi" w:hAnsiTheme="majorHAnsi"/>
                <w:sz w:val="22"/>
                <w:szCs w:val="22"/>
              </w:rPr>
              <w:t>(2006</w:t>
            </w:r>
            <w:r w:rsidR="00635DFF">
              <w:rPr>
                <w:rFonts w:asciiTheme="majorHAnsi" w:hAnsiTheme="majorHAnsi"/>
                <w:sz w:val="22"/>
                <w:szCs w:val="22"/>
              </w:rPr>
              <w:t xml:space="preserve">); </w:t>
            </w:r>
            <w:proofErr w:type="spellStart"/>
            <w:r w:rsidR="001273C8">
              <w:rPr>
                <w:rFonts w:asciiTheme="majorHAnsi" w:hAnsiTheme="majorHAnsi"/>
                <w:sz w:val="22"/>
                <w:szCs w:val="22"/>
              </w:rPr>
              <w:t>Hoepfl</w:t>
            </w:r>
            <w:proofErr w:type="spellEnd"/>
            <w:r w:rsidR="001273C8">
              <w:rPr>
                <w:rFonts w:asciiTheme="majorHAnsi" w:hAnsiTheme="majorHAnsi"/>
                <w:sz w:val="22"/>
                <w:szCs w:val="22"/>
              </w:rPr>
              <w:t xml:space="preserve"> (1997); Koch </w:t>
            </w:r>
            <w:r w:rsidR="001273C8" w:rsidRPr="001273C8">
              <w:rPr>
                <w:rFonts w:asciiTheme="majorHAnsi" w:hAnsiTheme="majorHAnsi"/>
                <w:sz w:val="22"/>
                <w:szCs w:val="22"/>
              </w:rPr>
              <w:t>(2006).</w:t>
            </w:r>
            <w:r w:rsidR="00635DFF">
              <w:rPr>
                <w:rFonts w:asciiTheme="majorHAnsi" w:hAnsiTheme="majorHAnsi"/>
                <w:sz w:val="22"/>
                <w:szCs w:val="22"/>
              </w:rPr>
              <w:t xml:space="preserve">  Audit trails were inspired by the work of Lincoln and Guba </w:t>
            </w:r>
            <w:r w:rsidR="00635DFF" w:rsidRPr="00635DFF">
              <w:rPr>
                <w:rFonts w:asciiTheme="majorHAnsi" w:hAnsiTheme="majorHAnsi"/>
                <w:sz w:val="22"/>
                <w:szCs w:val="22"/>
              </w:rPr>
              <w:t>(1985</w:t>
            </w:r>
            <w:r w:rsidR="00635DFF">
              <w:rPr>
                <w:rFonts w:asciiTheme="majorHAnsi" w:hAnsiTheme="majorHAnsi"/>
                <w:sz w:val="22"/>
                <w:szCs w:val="22"/>
              </w:rPr>
              <w:t>)</w:t>
            </w:r>
          </w:p>
        </w:tc>
      </w:tr>
      <w:tr w:rsidR="0010464D" w:rsidRPr="00C72BEC" w14:paraId="6E11A2F1" w14:textId="77777777" w:rsidTr="002472C4">
        <w:trPr>
          <w:trHeight w:val="369"/>
        </w:trPr>
        <w:tc>
          <w:tcPr>
            <w:tcW w:w="1809" w:type="dxa"/>
            <w:shd w:val="clear" w:color="auto" w:fill="D9D9D9" w:themeFill="background1" w:themeFillShade="D9"/>
          </w:tcPr>
          <w:p w14:paraId="2FBF3151" w14:textId="6A05F4CE" w:rsidR="0010464D" w:rsidRDefault="0010464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Reflexivity </w:t>
            </w:r>
            <w:r w:rsidR="00C42FFE">
              <w:rPr>
                <w:rFonts w:asciiTheme="majorHAnsi" w:hAnsiTheme="majorHAnsi" w:cs="Arial"/>
                <w:noProof/>
                <w:color w:val="000000" w:themeColor="text1"/>
                <w:sz w:val="22"/>
                <w:szCs w:val="22"/>
              </w:rPr>
              <w:t xml:space="preserve">or positionality </w:t>
            </w:r>
            <w:r>
              <w:rPr>
                <w:rFonts w:asciiTheme="majorHAnsi" w:hAnsiTheme="majorHAnsi" w:cs="Arial"/>
                <w:noProof/>
                <w:color w:val="000000" w:themeColor="text1"/>
                <w:sz w:val="22"/>
                <w:szCs w:val="22"/>
              </w:rPr>
              <w:t>statements</w:t>
            </w:r>
          </w:p>
        </w:tc>
        <w:tc>
          <w:tcPr>
            <w:tcW w:w="3530" w:type="dxa"/>
            <w:shd w:val="clear" w:color="auto" w:fill="D9D9D9" w:themeFill="background1" w:themeFillShade="D9"/>
          </w:tcPr>
          <w:p w14:paraId="54D3B7FB" w14:textId="687029EF" w:rsidR="0010464D" w:rsidRDefault="0010464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Many researchers </w:t>
            </w:r>
            <w:r w:rsidRPr="0010464D">
              <w:rPr>
                <w:rFonts w:asciiTheme="majorHAnsi" w:hAnsiTheme="majorHAnsi" w:cs="Arial"/>
                <w:noProof/>
                <w:color w:val="000000" w:themeColor="text1"/>
                <w:sz w:val="22"/>
                <w:szCs w:val="22"/>
              </w:rPr>
              <w:t>write a reflexivity statement in which they describe how their life history and experiences shaped their interests and perspective of this phenomenon.  This reflexivity statement does not usually outline their beliefs about the phenomenon, but instead includes events in their life, such as cultural dynamics, personal challenges, helpful endeavors, and professional associates that ignited their pursuit of this topic.  These reflexivity statements enable readers to assess whether or not the conclusions of this research are biased by the past experiences of the researcher (Merriman, 2009) but can also facilitate epoche as well</w:t>
            </w:r>
            <w:r w:rsidR="00A51A14">
              <w:rPr>
                <w:rFonts w:asciiTheme="majorHAnsi" w:hAnsiTheme="majorHAnsi" w:cs="Arial"/>
                <w:noProof/>
                <w:color w:val="000000" w:themeColor="text1"/>
                <w:sz w:val="22"/>
                <w:szCs w:val="22"/>
              </w:rPr>
              <w:t>—the capacity of researchers to diminish the effect of their preconceptions and experiences on analysis and interpretation</w:t>
            </w:r>
            <w:r w:rsidRPr="0010464D">
              <w:rPr>
                <w:rFonts w:asciiTheme="majorHAnsi" w:hAnsiTheme="majorHAnsi" w:cs="Arial"/>
                <w:noProof/>
                <w:color w:val="000000" w:themeColor="text1"/>
                <w:sz w:val="22"/>
                <w:szCs w:val="22"/>
              </w:rPr>
              <w:t xml:space="preserve">.   </w:t>
            </w:r>
          </w:p>
        </w:tc>
        <w:tc>
          <w:tcPr>
            <w:tcW w:w="3091" w:type="dxa"/>
            <w:shd w:val="clear" w:color="auto" w:fill="D9D9D9" w:themeFill="background1" w:themeFillShade="D9"/>
          </w:tcPr>
          <w:p w14:paraId="594603EE" w14:textId="46913BCA" w:rsidR="00F13BD1" w:rsidRPr="00F13BD1" w:rsidRDefault="00F13BD1" w:rsidP="00F13BD1">
            <w:pPr>
              <w:pStyle w:val="ListParagraph"/>
              <w:numPr>
                <w:ilvl w:val="0"/>
                <w:numId w:val="18"/>
              </w:numPr>
              <w:spacing w:line="276" w:lineRule="auto"/>
              <w:rPr>
                <w:rFonts w:asciiTheme="majorHAnsi" w:hAnsiTheme="majorHAnsi"/>
                <w:sz w:val="22"/>
                <w:szCs w:val="22"/>
              </w:rPr>
            </w:pPr>
            <w:r w:rsidRPr="00F13BD1">
              <w:rPr>
                <w:rFonts w:asciiTheme="majorHAnsi" w:hAnsiTheme="majorHAnsi"/>
                <w:sz w:val="22"/>
                <w:szCs w:val="22"/>
              </w:rPr>
              <w:t xml:space="preserve">Cite </w:t>
            </w:r>
            <w:r>
              <w:rPr>
                <w:rFonts w:asciiTheme="majorHAnsi" w:hAnsiTheme="majorHAnsi"/>
                <w:sz w:val="22"/>
                <w:szCs w:val="22"/>
              </w:rPr>
              <w:t>Merriman (2009)</w:t>
            </w:r>
          </w:p>
        </w:tc>
      </w:tr>
      <w:tr w:rsidR="00C61040" w:rsidRPr="00C72BEC" w14:paraId="4CC31DD4" w14:textId="77777777" w:rsidTr="002472C4">
        <w:trPr>
          <w:trHeight w:val="369"/>
        </w:trPr>
        <w:tc>
          <w:tcPr>
            <w:tcW w:w="1809" w:type="dxa"/>
            <w:shd w:val="clear" w:color="auto" w:fill="D9D9D9" w:themeFill="background1" w:themeFillShade="D9"/>
          </w:tcPr>
          <w:p w14:paraId="7D948830" w14:textId="7234B37A" w:rsidR="00C61040" w:rsidRDefault="00C6104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Bracketing</w:t>
            </w:r>
            <w:r w:rsidR="00246E8C">
              <w:rPr>
                <w:rFonts w:asciiTheme="majorHAnsi" w:hAnsiTheme="majorHAnsi" w:cs="Arial"/>
                <w:noProof/>
                <w:color w:val="000000" w:themeColor="text1"/>
                <w:sz w:val="22"/>
                <w:szCs w:val="22"/>
              </w:rPr>
              <w:t xml:space="preserve"> and epoche</w:t>
            </w:r>
          </w:p>
        </w:tc>
        <w:tc>
          <w:tcPr>
            <w:tcW w:w="3530" w:type="dxa"/>
            <w:shd w:val="clear" w:color="auto" w:fill="D9D9D9" w:themeFill="background1" w:themeFillShade="D9"/>
          </w:tcPr>
          <w:p w14:paraId="58AE67E9" w14:textId="5F55B17D" w:rsidR="003256E9" w:rsidRDefault="00C61040"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w:t>
            </w:r>
            <w:r w:rsidRPr="00C61040">
              <w:rPr>
                <w:rFonts w:asciiTheme="majorHAnsi" w:hAnsiTheme="majorHAnsi" w:cs="Arial"/>
                <w:noProof/>
                <w:color w:val="000000" w:themeColor="text1"/>
                <w:sz w:val="22"/>
                <w:szCs w:val="22"/>
              </w:rPr>
              <w:t xml:space="preserve">efore conducting interviews and analyzing data, </w:t>
            </w:r>
            <w:r>
              <w:rPr>
                <w:rFonts w:asciiTheme="majorHAnsi" w:hAnsiTheme="majorHAnsi" w:cs="Arial"/>
                <w:noProof/>
                <w:color w:val="000000" w:themeColor="text1"/>
                <w:sz w:val="22"/>
                <w:szCs w:val="22"/>
              </w:rPr>
              <w:t xml:space="preserve">researchers could </w:t>
            </w:r>
            <w:r w:rsidRPr="00C61040">
              <w:rPr>
                <w:rFonts w:asciiTheme="majorHAnsi" w:hAnsiTheme="majorHAnsi" w:cs="Arial"/>
                <w:noProof/>
                <w:color w:val="000000" w:themeColor="text1"/>
                <w:sz w:val="22"/>
                <w:szCs w:val="22"/>
              </w:rPr>
              <w:t xml:space="preserve">undertake a process called epoche—a Greek word to indicate restraint from judgment.  Epoche represents </w:t>
            </w:r>
            <w:r w:rsidRPr="00C61040">
              <w:rPr>
                <w:rFonts w:asciiTheme="majorHAnsi" w:hAnsiTheme="majorHAnsi" w:cs="Arial"/>
                <w:noProof/>
                <w:color w:val="000000" w:themeColor="text1"/>
                <w:sz w:val="22"/>
                <w:szCs w:val="22"/>
              </w:rPr>
              <w:lastRenderedPageBreak/>
              <w:t>the attempt of researchers to contemplate, and then to set aside or bracket, their preconceptions or previous knowledge about the phenomenon</w:t>
            </w:r>
            <w:r w:rsidR="00762C20">
              <w:rPr>
                <w:rFonts w:asciiTheme="majorHAnsi" w:hAnsiTheme="majorHAnsi" w:cs="Arial"/>
                <w:noProof/>
                <w:color w:val="000000" w:themeColor="text1"/>
                <w:sz w:val="22"/>
                <w:szCs w:val="22"/>
              </w:rPr>
              <w:t xml:space="preserve"> (see also </w:t>
            </w:r>
            <w:r w:rsidR="00774BBC">
              <w:rPr>
                <w:rFonts w:asciiTheme="majorHAnsi" w:hAnsiTheme="majorHAnsi" w:cs="Arial"/>
                <w:noProof/>
                <w:color w:val="000000" w:themeColor="text1"/>
                <w:sz w:val="22"/>
                <w:szCs w:val="22"/>
              </w:rPr>
              <w:t xml:space="preserve">Rolls &amp; Relf, 2006; </w:t>
            </w:r>
            <w:r w:rsidR="00762C20" w:rsidRPr="00762C20">
              <w:rPr>
                <w:rFonts w:asciiTheme="majorHAnsi" w:hAnsiTheme="majorHAnsi" w:cs="Arial"/>
                <w:noProof/>
                <w:color w:val="000000" w:themeColor="text1"/>
                <w:sz w:val="22"/>
                <w:szCs w:val="22"/>
              </w:rPr>
              <w:t xml:space="preserve">Starks </w:t>
            </w:r>
            <w:r w:rsidR="00A10055">
              <w:rPr>
                <w:rFonts w:asciiTheme="majorHAnsi" w:hAnsiTheme="majorHAnsi" w:cs="Arial"/>
                <w:noProof/>
                <w:color w:val="000000" w:themeColor="text1"/>
                <w:sz w:val="22"/>
                <w:szCs w:val="22"/>
              </w:rPr>
              <w:t>&amp;</w:t>
            </w:r>
            <w:r w:rsidR="00762C20" w:rsidRPr="00762C20">
              <w:rPr>
                <w:rFonts w:asciiTheme="majorHAnsi" w:hAnsiTheme="majorHAnsi" w:cs="Arial"/>
                <w:noProof/>
                <w:color w:val="000000" w:themeColor="text1"/>
                <w:sz w:val="22"/>
                <w:szCs w:val="22"/>
              </w:rPr>
              <w:t xml:space="preserve"> Trinidad</w:t>
            </w:r>
            <w:r w:rsidR="00762C20">
              <w:rPr>
                <w:rFonts w:asciiTheme="majorHAnsi" w:hAnsiTheme="majorHAnsi" w:cs="Arial"/>
                <w:noProof/>
                <w:color w:val="000000" w:themeColor="text1"/>
                <w:sz w:val="22"/>
                <w:szCs w:val="22"/>
              </w:rPr>
              <w:t xml:space="preserve">, </w:t>
            </w:r>
            <w:r w:rsidR="00762C20" w:rsidRPr="00762C20">
              <w:rPr>
                <w:rFonts w:asciiTheme="majorHAnsi" w:hAnsiTheme="majorHAnsi" w:cs="Arial"/>
                <w:noProof/>
                <w:color w:val="000000" w:themeColor="text1"/>
                <w:sz w:val="22"/>
                <w:szCs w:val="22"/>
              </w:rPr>
              <w:t>2007</w:t>
            </w:r>
            <w:r w:rsidR="00762C20">
              <w:rPr>
                <w:rFonts w:asciiTheme="majorHAnsi" w:hAnsiTheme="majorHAnsi" w:cs="Arial"/>
                <w:noProof/>
                <w:color w:val="000000" w:themeColor="text1"/>
                <w:sz w:val="22"/>
                <w:szCs w:val="22"/>
              </w:rPr>
              <w:t xml:space="preserve">; </w:t>
            </w:r>
            <w:r w:rsidR="00762C20" w:rsidRPr="00762C20">
              <w:rPr>
                <w:rFonts w:asciiTheme="majorHAnsi" w:hAnsiTheme="majorHAnsi" w:cs="Arial"/>
                <w:noProof/>
                <w:color w:val="000000" w:themeColor="text1"/>
                <w:sz w:val="22"/>
                <w:szCs w:val="22"/>
              </w:rPr>
              <w:t>Tufford &amp; Newman, 2012).</w:t>
            </w:r>
            <w:r w:rsidRPr="00C61040">
              <w:rPr>
                <w:rFonts w:asciiTheme="majorHAnsi" w:hAnsiTheme="majorHAnsi" w:cs="Arial"/>
                <w:noProof/>
                <w:color w:val="000000" w:themeColor="text1"/>
                <w:sz w:val="22"/>
                <w:szCs w:val="22"/>
              </w:rPr>
              <w:t xml:space="preserve">  Typically, the researchers </w:t>
            </w:r>
          </w:p>
          <w:p w14:paraId="50576507" w14:textId="77777777" w:rsidR="003256E9" w:rsidRDefault="003256E9" w:rsidP="002472C4">
            <w:pPr>
              <w:spacing w:line="276" w:lineRule="auto"/>
              <w:rPr>
                <w:rFonts w:asciiTheme="majorHAnsi" w:hAnsiTheme="majorHAnsi" w:cs="Arial"/>
                <w:noProof/>
                <w:color w:val="000000" w:themeColor="text1"/>
                <w:sz w:val="22"/>
                <w:szCs w:val="22"/>
              </w:rPr>
            </w:pPr>
          </w:p>
          <w:p w14:paraId="291DF56D" w14:textId="1C7F96AC" w:rsidR="003256E9" w:rsidRDefault="00C61040" w:rsidP="003256E9">
            <w:pPr>
              <w:pStyle w:val="ListParagraph"/>
              <w:numPr>
                <w:ilvl w:val="0"/>
                <w:numId w:val="32"/>
              </w:numPr>
              <w:spacing w:line="276" w:lineRule="auto"/>
              <w:rPr>
                <w:rFonts w:asciiTheme="majorHAnsi" w:hAnsiTheme="majorHAnsi" w:cs="Arial"/>
                <w:noProof/>
                <w:color w:val="000000" w:themeColor="text1"/>
                <w:sz w:val="22"/>
                <w:szCs w:val="22"/>
              </w:rPr>
            </w:pPr>
            <w:r w:rsidRPr="003256E9">
              <w:rPr>
                <w:rFonts w:asciiTheme="majorHAnsi" w:hAnsiTheme="majorHAnsi" w:cs="Arial"/>
                <w:noProof/>
                <w:color w:val="000000" w:themeColor="text1"/>
                <w:sz w:val="22"/>
                <w:szCs w:val="22"/>
              </w:rPr>
              <w:t>first transcribe all their knowledge about the phenomenon, including their experiences, beliefs, attitudes</w:t>
            </w:r>
            <w:r w:rsidR="00774BBC">
              <w:rPr>
                <w:rFonts w:asciiTheme="majorHAnsi" w:hAnsiTheme="majorHAnsi" w:cs="Arial"/>
                <w:noProof/>
                <w:color w:val="000000" w:themeColor="text1"/>
                <w:sz w:val="22"/>
                <w:szCs w:val="22"/>
              </w:rPr>
              <w:t>, and values as well as their power or role in this research</w:t>
            </w:r>
            <w:r w:rsidRPr="003256E9">
              <w:rPr>
                <w:rFonts w:asciiTheme="majorHAnsi" w:hAnsiTheme="majorHAnsi" w:cs="Arial"/>
                <w:noProof/>
                <w:color w:val="000000" w:themeColor="text1"/>
                <w:sz w:val="22"/>
                <w:szCs w:val="22"/>
              </w:rPr>
              <w:t>—entries that gradually accumulate over time</w:t>
            </w:r>
            <w:r w:rsidR="00762C20">
              <w:rPr>
                <w:rFonts w:asciiTheme="majorHAnsi" w:hAnsiTheme="majorHAnsi" w:cs="Arial"/>
                <w:noProof/>
                <w:color w:val="000000" w:themeColor="text1"/>
                <w:sz w:val="22"/>
                <w:szCs w:val="22"/>
              </w:rPr>
              <w:t>.  These entries are sometimes collectively labelled a reflexive journal.</w:t>
            </w:r>
          </w:p>
          <w:p w14:paraId="77AE31AC" w14:textId="77777777" w:rsidR="003256E9" w:rsidRDefault="00C61040" w:rsidP="003256E9">
            <w:pPr>
              <w:pStyle w:val="ListParagraph"/>
              <w:numPr>
                <w:ilvl w:val="0"/>
                <w:numId w:val="32"/>
              </w:numPr>
              <w:spacing w:line="276" w:lineRule="auto"/>
              <w:rPr>
                <w:rFonts w:asciiTheme="majorHAnsi" w:hAnsiTheme="majorHAnsi" w:cs="Arial"/>
                <w:noProof/>
                <w:color w:val="000000" w:themeColor="text1"/>
                <w:sz w:val="22"/>
                <w:szCs w:val="22"/>
              </w:rPr>
            </w:pPr>
            <w:r w:rsidRPr="003256E9">
              <w:rPr>
                <w:rFonts w:asciiTheme="majorHAnsi" w:hAnsiTheme="majorHAnsi" w:cs="Arial"/>
                <w:noProof/>
                <w:color w:val="000000" w:themeColor="text1"/>
                <w:sz w:val="22"/>
                <w:szCs w:val="22"/>
              </w:rPr>
              <w:t xml:space="preserve">Once they reach a point of saturation, in which no additional knowledge can be transcribed, they subject these entries to systematic analysis.  They may, for example, distinguish units of meaning, allocate these units of meaning into codes and then themes, and finally construct a cohesive description of their understanding.  </w:t>
            </w:r>
          </w:p>
          <w:p w14:paraId="4639A255" w14:textId="34A883E0" w:rsidR="003256E9" w:rsidRPr="00774BBC" w:rsidRDefault="00C61040" w:rsidP="003256E9">
            <w:pPr>
              <w:pStyle w:val="ListParagraph"/>
              <w:numPr>
                <w:ilvl w:val="0"/>
                <w:numId w:val="32"/>
              </w:numPr>
              <w:spacing w:line="276" w:lineRule="auto"/>
              <w:rPr>
                <w:rFonts w:asciiTheme="majorHAnsi" w:hAnsiTheme="majorHAnsi" w:cs="Arial"/>
                <w:noProof/>
                <w:color w:val="000000" w:themeColor="text1"/>
                <w:sz w:val="22"/>
                <w:szCs w:val="22"/>
              </w:rPr>
            </w:pPr>
            <w:r w:rsidRPr="003256E9">
              <w:rPr>
                <w:rFonts w:asciiTheme="majorHAnsi" w:hAnsiTheme="majorHAnsi" w:cs="Arial"/>
                <w:noProof/>
                <w:color w:val="000000" w:themeColor="text1"/>
                <w:sz w:val="22"/>
                <w:szCs w:val="22"/>
              </w:rPr>
              <w:t xml:space="preserve">Finally, while </w:t>
            </w:r>
            <w:r w:rsidR="003256E9">
              <w:rPr>
                <w:rFonts w:asciiTheme="majorHAnsi" w:hAnsiTheme="majorHAnsi" w:cs="Arial"/>
                <w:noProof/>
                <w:color w:val="000000" w:themeColor="text1"/>
                <w:sz w:val="22"/>
                <w:szCs w:val="22"/>
              </w:rPr>
              <w:t xml:space="preserve">designing their research, </w:t>
            </w:r>
            <w:r w:rsidRPr="003256E9">
              <w:rPr>
                <w:rFonts w:asciiTheme="majorHAnsi" w:hAnsiTheme="majorHAnsi" w:cs="Arial"/>
                <w:noProof/>
                <w:color w:val="000000" w:themeColor="text1"/>
                <w:sz w:val="22"/>
                <w:szCs w:val="22"/>
              </w:rPr>
              <w:t>collecting</w:t>
            </w:r>
            <w:r w:rsidR="003256E9">
              <w:rPr>
                <w:rFonts w:asciiTheme="majorHAnsi" w:hAnsiTheme="majorHAnsi" w:cs="Arial"/>
                <w:noProof/>
                <w:color w:val="000000" w:themeColor="text1"/>
                <w:sz w:val="22"/>
                <w:szCs w:val="22"/>
              </w:rPr>
              <w:t xml:space="preserve"> data,</w:t>
            </w:r>
            <w:r w:rsidRPr="003256E9">
              <w:rPr>
                <w:rFonts w:asciiTheme="majorHAnsi" w:hAnsiTheme="majorHAnsi" w:cs="Arial"/>
                <w:noProof/>
                <w:color w:val="000000" w:themeColor="text1"/>
                <w:sz w:val="22"/>
                <w:szCs w:val="22"/>
              </w:rPr>
              <w:t xml:space="preserve"> and analyzing data, researchers deliberately attempt to set this understanding aside.</w:t>
            </w:r>
            <w:r w:rsidR="00762C20">
              <w:rPr>
                <w:rFonts w:asciiTheme="majorHAnsi" w:hAnsiTheme="majorHAnsi" w:cs="Arial"/>
                <w:noProof/>
                <w:color w:val="000000" w:themeColor="text1"/>
                <w:sz w:val="22"/>
                <w:szCs w:val="22"/>
              </w:rPr>
              <w:t xml:space="preserve">  That is, </w:t>
            </w:r>
            <w:r w:rsidR="00762C20">
              <w:rPr>
                <w:rFonts w:asciiTheme="majorHAnsi" w:hAnsiTheme="majorHAnsi" w:cs="Arial"/>
                <w:noProof/>
                <w:color w:val="000000" w:themeColor="text1"/>
                <w:sz w:val="22"/>
                <w:szCs w:val="22"/>
              </w:rPr>
              <w:lastRenderedPageBreak/>
              <w:t xml:space="preserve">they attempt to foster an open mind to the perspectives of participants. </w:t>
            </w:r>
            <w:r w:rsidRPr="003256E9">
              <w:rPr>
                <w:rFonts w:asciiTheme="majorHAnsi" w:hAnsiTheme="majorHAnsi" w:cs="Arial"/>
                <w:noProof/>
                <w:color w:val="000000" w:themeColor="text1"/>
                <w:sz w:val="22"/>
                <w:szCs w:val="22"/>
              </w:rPr>
              <w:t xml:space="preserve">      </w:t>
            </w:r>
          </w:p>
        </w:tc>
        <w:tc>
          <w:tcPr>
            <w:tcW w:w="3091" w:type="dxa"/>
            <w:shd w:val="clear" w:color="auto" w:fill="D9D9D9" w:themeFill="background1" w:themeFillShade="D9"/>
          </w:tcPr>
          <w:p w14:paraId="7C2BB934" w14:textId="77777777" w:rsidR="00C61040" w:rsidRPr="00C61040" w:rsidRDefault="00C61040" w:rsidP="00C61040">
            <w:pPr>
              <w:pStyle w:val="ListParagraph"/>
              <w:numPr>
                <w:ilvl w:val="0"/>
                <w:numId w:val="18"/>
              </w:numPr>
              <w:spacing w:line="276" w:lineRule="auto"/>
              <w:rPr>
                <w:rFonts w:asciiTheme="majorHAnsi" w:hAnsiTheme="majorHAnsi"/>
                <w:sz w:val="22"/>
                <w:szCs w:val="22"/>
              </w:rPr>
            </w:pPr>
            <w:r w:rsidRPr="00C61040">
              <w:rPr>
                <w:rFonts w:asciiTheme="majorHAnsi" w:hAnsiTheme="majorHAnsi" w:cs="Arial"/>
                <w:noProof/>
                <w:color w:val="000000" w:themeColor="text1"/>
                <w:sz w:val="22"/>
                <w:szCs w:val="22"/>
              </w:rPr>
              <w:lastRenderedPageBreak/>
              <w:t>Giorgi (2009)</w:t>
            </w:r>
            <w:r>
              <w:rPr>
                <w:rFonts w:asciiTheme="majorHAnsi" w:hAnsiTheme="majorHAnsi" w:cs="Arial"/>
                <w:noProof/>
                <w:color w:val="000000" w:themeColor="text1"/>
                <w:sz w:val="22"/>
                <w:szCs w:val="22"/>
              </w:rPr>
              <w:t>; Moustakas (1994); more applicable to phenomenology</w:t>
            </w:r>
          </w:p>
          <w:p w14:paraId="2C156B53" w14:textId="054E402D" w:rsidR="00C61040" w:rsidRPr="00F13BD1" w:rsidRDefault="00C61040" w:rsidP="00C61040">
            <w:pPr>
              <w:pStyle w:val="ListParagraph"/>
              <w:numPr>
                <w:ilvl w:val="0"/>
                <w:numId w:val="18"/>
              </w:numPr>
              <w:spacing w:line="276" w:lineRule="auto"/>
              <w:rPr>
                <w:rFonts w:asciiTheme="majorHAnsi" w:hAnsiTheme="majorHAnsi"/>
                <w:sz w:val="22"/>
                <w:szCs w:val="22"/>
              </w:rPr>
            </w:pPr>
            <w:r>
              <w:rPr>
                <w:rFonts w:asciiTheme="majorHAnsi" w:hAnsiTheme="majorHAnsi" w:cs="Arial"/>
                <w:noProof/>
                <w:color w:val="000000" w:themeColor="text1"/>
                <w:sz w:val="22"/>
                <w:szCs w:val="22"/>
              </w:rPr>
              <w:t>Some</w:t>
            </w:r>
            <w:r w:rsidR="00246E8C">
              <w:rPr>
                <w:rFonts w:asciiTheme="majorHAnsi" w:hAnsiTheme="majorHAnsi" w:cs="Arial"/>
                <w:noProof/>
                <w:color w:val="000000" w:themeColor="text1"/>
                <w:sz w:val="22"/>
                <w:szCs w:val="22"/>
              </w:rPr>
              <w:t xml:space="preserve"> researchers, such as constructivist grounded </w:t>
            </w:r>
            <w:r w:rsidR="00246E8C">
              <w:rPr>
                <w:rFonts w:asciiTheme="majorHAnsi" w:hAnsiTheme="majorHAnsi" w:cs="Arial"/>
                <w:noProof/>
                <w:color w:val="000000" w:themeColor="text1"/>
                <w:sz w:val="22"/>
                <w:szCs w:val="22"/>
              </w:rPr>
              <w:lastRenderedPageBreak/>
              <w:t>theorists, believe that such bracketing is not possible</w:t>
            </w:r>
            <w:r>
              <w:rPr>
                <w:rFonts w:asciiTheme="majorHAnsi" w:hAnsiTheme="majorHAnsi" w:cs="Arial"/>
                <w:noProof/>
                <w:color w:val="000000" w:themeColor="text1"/>
                <w:sz w:val="22"/>
                <w:szCs w:val="22"/>
              </w:rPr>
              <w:t xml:space="preserve"> </w:t>
            </w:r>
            <w:r w:rsidR="000D04FB">
              <w:rPr>
                <w:rFonts w:asciiTheme="majorHAnsi" w:hAnsiTheme="majorHAnsi" w:cs="Arial"/>
                <w:noProof/>
                <w:color w:val="000000" w:themeColor="text1"/>
                <w:sz w:val="22"/>
                <w:szCs w:val="22"/>
              </w:rPr>
              <w:t xml:space="preserve"> to achieve effectively</w:t>
            </w:r>
          </w:p>
        </w:tc>
      </w:tr>
      <w:tr w:rsidR="003414BD" w:rsidRPr="00C72BEC" w14:paraId="4FFEC009" w14:textId="77777777" w:rsidTr="002472C4">
        <w:trPr>
          <w:trHeight w:val="369"/>
        </w:trPr>
        <w:tc>
          <w:tcPr>
            <w:tcW w:w="1809" w:type="dxa"/>
            <w:shd w:val="clear" w:color="auto" w:fill="D9D9D9" w:themeFill="background1" w:themeFillShade="D9"/>
          </w:tcPr>
          <w:p w14:paraId="496FD88D" w14:textId="346CEA4A" w:rsidR="003414BD"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lastRenderedPageBreak/>
              <w:t>Familiarity with the culture</w:t>
            </w:r>
          </w:p>
        </w:tc>
        <w:tc>
          <w:tcPr>
            <w:tcW w:w="3530" w:type="dxa"/>
            <w:shd w:val="clear" w:color="auto" w:fill="D9D9D9" w:themeFill="background1" w:themeFillShade="D9"/>
          </w:tcPr>
          <w:p w14:paraId="62D37E4D" w14:textId="1620E95B" w:rsidR="003414BD" w:rsidRPr="003D405B"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The researchers need to become very familiar with the cultures and perspectives of the organizations or communities that are participating in their study.  Researchers recommend prolonged engagement with these organizations or communities to develop understanding and trust. </w:t>
            </w:r>
          </w:p>
        </w:tc>
        <w:tc>
          <w:tcPr>
            <w:tcW w:w="3091" w:type="dxa"/>
            <w:shd w:val="clear" w:color="auto" w:fill="D9D9D9" w:themeFill="background1" w:themeFillShade="D9"/>
          </w:tcPr>
          <w:p w14:paraId="07A5001C" w14:textId="77777777" w:rsidR="003414BD" w:rsidRDefault="003414BD" w:rsidP="002472C4">
            <w:pPr>
              <w:spacing w:line="276" w:lineRule="auto"/>
              <w:rPr>
                <w:rFonts w:asciiTheme="majorHAnsi" w:hAnsiTheme="majorHAnsi"/>
                <w:sz w:val="22"/>
                <w:szCs w:val="22"/>
              </w:rPr>
            </w:pPr>
            <w:r>
              <w:rPr>
                <w:rFonts w:asciiTheme="majorHAnsi" w:hAnsiTheme="majorHAnsi"/>
                <w:sz w:val="22"/>
                <w:szCs w:val="22"/>
              </w:rPr>
              <w:t>Researchers need to ensure that prolonged engagement does not detract time and resources from the organizations or communities—or impair their professional judgment.</w:t>
            </w:r>
          </w:p>
          <w:p w14:paraId="6001E08D" w14:textId="77777777" w:rsidR="003414BD" w:rsidRDefault="003414BD" w:rsidP="002472C4">
            <w:pPr>
              <w:spacing w:line="276" w:lineRule="auto"/>
              <w:rPr>
                <w:rFonts w:asciiTheme="majorHAnsi" w:hAnsiTheme="majorHAnsi"/>
                <w:sz w:val="22"/>
                <w:szCs w:val="22"/>
              </w:rPr>
            </w:pPr>
          </w:p>
          <w:p w14:paraId="39A5B667" w14:textId="77777777" w:rsidR="003414BD" w:rsidRDefault="003414BD" w:rsidP="002472C4">
            <w:pPr>
              <w:pStyle w:val="ListParagraph"/>
              <w:numPr>
                <w:ilvl w:val="0"/>
                <w:numId w:val="16"/>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sidRPr="005C3B4F">
              <w:rPr>
                <w:rFonts w:asciiTheme="majorHAnsi" w:hAnsiTheme="majorHAnsi"/>
                <w:sz w:val="22"/>
                <w:szCs w:val="22"/>
              </w:rPr>
              <w:t>), Section 2b</w:t>
            </w:r>
          </w:p>
          <w:p w14:paraId="66A12B15" w14:textId="25536982" w:rsidR="003414BD" w:rsidRPr="003414BD" w:rsidRDefault="003414BD" w:rsidP="002472C4">
            <w:pPr>
              <w:pStyle w:val="ListParagraph"/>
              <w:numPr>
                <w:ilvl w:val="0"/>
                <w:numId w:val="16"/>
              </w:numPr>
              <w:spacing w:line="276" w:lineRule="auto"/>
              <w:rPr>
                <w:rFonts w:asciiTheme="majorHAnsi" w:hAnsiTheme="majorHAnsi"/>
                <w:sz w:val="22"/>
                <w:szCs w:val="22"/>
              </w:rPr>
            </w:pPr>
            <w:r w:rsidRPr="003414BD">
              <w:rPr>
                <w:rFonts w:asciiTheme="majorHAnsi" w:hAnsiTheme="majorHAnsi"/>
                <w:sz w:val="22"/>
                <w:szCs w:val="22"/>
              </w:rPr>
              <w:t>Cite Lincoln and Guba (1985); Silverman (2000)</w:t>
            </w:r>
          </w:p>
        </w:tc>
      </w:tr>
      <w:tr w:rsidR="003414BD" w:rsidRPr="00C72BEC" w14:paraId="4571BBD9" w14:textId="77777777" w:rsidTr="002472C4">
        <w:trPr>
          <w:trHeight w:val="369"/>
        </w:trPr>
        <w:tc>
          <w:tcPr>
            <w:tcW w:w="1809" w:type="dxa"/>
            <w:shd w:val="clear" w:color="auto" w:fill="D9D9D9" w:themeFill="background1" w:themeFillShade="D9"/>
          </w:tcPr>
          <w:p w14:paraId="7B19F953" w14:textId="7D2D4A68"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Complement purposive sampling with random sampling</w:t>
            </w:r>
          </w:p>
        </w:tc>
        <w:tc>
          <w:tcPr>
            <w:tcW w:w="3530" w:type="dxa"/>
            <w:shd w:val="clear" w:color="auto" w:fill="D9D9D9" w:themeFill="background1" w:themeFillShade="D9"/>
          </w:tcPr>
          <w:p w14:paraId="2E7EE01C" w14:textId="4D8C6806"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In qualitative research, researchers often apply purposive sampling—in which they seek individuals or sources of information they believe will be most informative.  However, they could also complement this technique with some random sampling.  For example, they could randomly chose 5 individuals from a specific comminity. Without this procedure, the biases of researchers might affect who they choose to interview and thus bias the results.   </w:t>
            </w:r>
          </w:p>
        </w:tc>
        <w:tc>
          <w:tcPr>
            <w:tcW w:w="3091" w:type="dxa"/>
            <w:shd w:val="clear" w:color="auto" w:fill="D9D9D9" w:themeFill="background1" w:themeFillShade="D9"/>
          </w:tcPr>
          <w:p w14:paraId="1E7F8BEB" w14:textId="77777777" w:rsidR="003414BD" w:rsidRDefault="003414BD" w:rsidP="002472C4">
            <w:pPr>
              <w:spacing w:line="276" w:lineRule="auto"/>
              <w:rPr>
                <w:rFonts w:asciiTheme="majorHAnsi" w:hAnsiTheme="majorHAnsi"/>
                <w:sz w:val="22"/>
                <w:szCs w:val="22"/>
              </w:rPr>
            </w:pPr>
            <w:r>
              <w:rPr>
                <w:rFonts w:asciiTheme="majorHAnsi" w:hAnsiTheme="majorHAnsi"/>
                <w:sz w:val="22"/>
                <w:szCs w:val="22"/>
              </w:rPr>
              <w:t>A random sample might identify individuals who are uncooperative or uninformative</w:t>
            </w:r>
          </w:p>
          <w:p w14:paraId="1E2772C4" w14:textId="77777777" w:rsidR="003414BD" w:rsidRDefault="003414BD" w:rsidP="002472C4">
            <w:pPr>
              <w:spacing w:line="276" w:lineRule="auto"/>
              <w:rPr>
                <w:rFonts w:asciiTheme="majorHAnsi" w:hAnsiTheme="majorHAnsi"/>
                <w:sz w:val="22"/>
                <w:szCs w:val="22"/>
              </w:rPr>
            </w:pPr>
          </w:p>
          <w:p w14:paraId="6A6A8C1D" w14:textId="77777777" w:rsidR="003414BD" w:rsidRDefault="003414BD" w:rsidP="002472C4">
            <w:pPr>
              <w:pStyle w:val="ListParagraph"/>
              <w:numPr>
                <w:ilvl w:val="0"/>
                <w:numId w:val="16"/>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2c</w:t>
            </w:r>
          </w:p>
          <w:p w14:paraId="54686EDB" w14:textId="148E163F" w:rsidR="003414BD" w:rsidRPr="003D405B" w:rsidRDefault="003414BD" w:rsidP="002472C4">
            <w:pPr>
              <w:spacing w:line="276" w:lineRule="auto"/>
              <w:rPr>
                <w:rFonts w:asciiTheme="majorHAnsi" w:hAnsiTheme="majorHAnsi"/>
                <w:sz w:val="22"/>
                <w:szCs w:val="22"/>
              </w:rPr>
            </w:pPr>
            <w:r w:rsidRPr="005C3B4F">
              <w:rPr>
                <w:rFonts w:asciiTheme="majorHAnsi" w:hAnsiTheme="majorHAnsi"/>
                <w:sz w:val="22"/>
                <w:szCs w:val="22"/>
              </w:rPr>
              <w:t xml:space="preserve">Cite </w:t>
            </w:r>
            <w:r>
              <w:rPr>
                <w:rFonts w:asciiTheme="majorHAnsi" w:hAnsiTheme="majorHAnsi"/>
                <w:sz w:val="22"/>
                <w:szCs w:val="22"/>
              </w:rPr>
              <w:t xml:space="preserve">Bouma &amp; Atkinson, </w:t>
            </w:r>
            <w:r w:rsidRPr="005C3B4F">
              <w:rPr>
                <w:rFonts w:asciiTheme="majorHAnsi" w:hAnsiTheme="majorHAnsi"/>
                <w:sz w:val="22"/>
                <w:szCs w:val="22"/>
              </w:rPr>
              <w:t>(1995</w:t>
            </w:r>
            <w:r>
              <w:rPr>
                <w:rFonts w:asciiTheme="majorHAnsi" w:hAnsiTheme="majorHAnsi"/>
                <w:sz w:val="22"/>
                <w:szCs w:val="22"/>
              </w:rPr>
              <w:t>)</w:t>
            </w:r>
          </w:p>
        </w:tc>
      </w:tr>
      <w:tr w:rsidR="003414BD" w:rsidRPr="00C72BEC" w14:paraId="1D92163B" w14:textId="77777777" w:rsidTr="002472C4">
        <w:trPr>
          <w:trHeight w:val="369"/>
        </w:trPr>
        <w:tc>
          <w:tcPr>
            <w:tcW w:w="1809" w:type="dxa"/>
            <w:shd w:val="clear" w:color="auto" w:fill="D9D9D9" w:themeFill="background1" w:themeFillShade="D9"/>
          </w:tcPr>
          <w:p w14:paraId="37404A13" w14:textId="6B04D855"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Debriefing</w:t>
            </w:r>
          </w:p>
        </w:tc>
        <w:tc>
          <w:tcPr>
            <w:tcW w:w="3530" w:type="dxa"/>
            <w:shd w:val="clear" w:color="auto" w:fill="D9D9D9" w:themeFill="background1" w:themeFillShade="D9"/>
          </w:tcPr>
          <w:p w14:paraId="33EC36F5" w14:textId="77777777"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Researchers should convey their provisional themes, concepts, ideas, and conclusions to project supervisors or directors on a regular basis—as well as to other peers.  During these conversations, these supervisors or directors might</w:t>
            </w:r>
          </w:p>
          <w:p w14:paraId="08051512" w14:textId="77777777" w:rsidR="003414BD" w:rsidRDefault="003414BD" w:rsidP="002472C4">
            <w:pPr>
              <w:spacing w:line="276" w:lineRule="auto"/>
              <w:rPr>
                <w:rFonts w:asciiTheme="majorHAnsi" w:hAnsiTheme="majorHAnsi" w:cs="Arial"/>
                <w:noProof/>
                <w:color w:val="000000" w:themeColor="text1"/>
                <w:sz w:val="22"/>
                <w:szCs w:val="22"/>
              </w:rPr>
            </w:pPr>
          </w:p>
          <w:p w14:paraId="460612A1" w14:textId="77777777" w:rsidR="003414BD" w:rsidRDefault="003414BD" w:rsidP="002472C4">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question these conclusions to uncover complications and generate richer data</w:t>
            </w:r>
          </w:p>
          <w:p w14:paraId="7D88487E" w14:textId="77777777" w:rsidR="0010464D" w:rsidRDefault="003414BD" w:rsidP="00F42640">
            <w:pPr>
              <w:pStyle w:val="ListParagraph"/>
              <w:numPr>
                <w:ilvl w:val="0"/>
                <w:numId w:val="1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convey some topics or perspectives the researcher might have overlooked</w:t>
            </w:r>
          </w:p>
          <w:p w14:paraId="3866975D" w14:textId="7052016E" w:rsidR="003414BD" w:rsidRPr="0010464D" w:rsidRDefault="003414BD" w:rsidP="00F42640">
            <w:pPr>
              <w:pStyle w:val="ListParagraph"/>
              <w:numPr>
                <w:ilvl w:val="0"/>
                <w:numId w:val="17"/>
              </w:numPr>
              <w:spacing w:line="276" w:lineRule="auto"/>
              <w:rPr>
                <w:rFonts w:asciiTheme="majorHAnsi" w:hAnsiTheme="majorHAnsi" w:cs="Arial"/>
                <w:noProof/>
                <w:color w:val="000000" w:themeColor="text1"/>
                <w:sz w:val="22"/>
                <w:szCs w:val="22"/>
              </w:rPr>
            </w:pPr>
            <w:r w:rsidRPr="0010464D">
              <w:rPr>
                <w:rFonts w:asciiTheme="majorHAnsi" w:hAnsiTheme="majorHAnsi" w:cs="Arial"/>
                <w:noProof/>
                <w:color w:val="000000" w:themeColor="text1"/>
                <w:sz w:val="22"/>
                <w:szCs w:val="22"/>
              </w:rPr>
              <w:t xml:space="preserve">unearth some biases in the researcher  </w:t>
            </w:r>
          </w:p>
        </w:tc>
        <w:tc>
          <w:tcPr>
            <w:tcW w:w="3091" w:type="dxa"/>
            <w:shd w:val="clear" w:color="auto" w:fill="D9D9D9" w:themeFill="background1" w:themeFillShade="D9"/>
          </w:tcPr>
          <w:p w14:paraId="52C9AA2B" w14:textId="20C73F86" w:rsidR="003414BD" w:rsidRPr="003414BD" w:rsidRDefault="003414BD" w:rsidP="003414BD">
            <w:pPr>
              <w:pStyle w:val="ListParagraph"/>
              <w:numPr>
                <w:ilvl w:val="0"/>
                <w:numId w:val="17"/>
              </w:numPr>
              <w:spacing w:line="276" w:lineRule="auto"/>
              <w:rPr>
                <w:rFonts w:asciiTheme="majorHAnsi" w:hAnsiTheme="majorHAnsi"/>
                <w:sz w:val="22"/>
                <w:szCs w:val="22"/>
              </w:rPr>
            </w:pPr>
            <w:r w:rsidRPr="005C3B4F">
              <w:rPr>
                <w:rFonts w:asciiTheme="majorHAnsi" w:hAnsiTheme="majorHAnsi"/>
                <w:sz w:val="22"/>
                <w:szCs w:val="22"/>
              </w:rPr>
              <w:lastRenderedPageBreak/>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2h and 2i</w:t>
            </w:r>
          </w:p>
        </w:tc>
      </w:tr>
      <w:tr w:rsidR="003414BD" w:rsidRPr="00C72BEC" w14:paraId="093E3436" w14:textId="77777777" w:rsidTr="002472C4">
        <w:trPr>
          <w:trHeight w:val="369"/>
        </w:trPr>
        <w:tc>
          <w:tcPr>
            <w:tcW w:w="1809" w:type="dxa"/>
            <w:shd w:val="clear" w:color="auto" w:fill="D9D9D9" w:themeFill="background1" w:themeFillShade="D9"/>
          </w:tcPr>
          <w:p w14:paraId="086B8A69" w14:textId="018D7A93" w:rsidR="003414BD" w:rsidRPr="005F4D18" w:rsidRDefault="003414BD"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Assessment by informants</w:t>
            </w:r>
            <w:r w:rsidR="00C42FFE">
              <w:rPr>
                <w:rFonts w:asciiTheme="majorHAnsi" w:hAnsiTheme="majorHAnsi" w:cs="Arial"/>
                <w:noProof/>
                <w:color w:val="000000" w:themeColor="text1"/>
                <w:sz w:val="22"/>
                <w:szCs w:val="22"/>
              </w:rPr>
              <w:t>: Member checks</w:t>
            </w:r>
          </w:p>
        </w:tc>
        <w:tc>
          <w:tcPr>
            <w:tcW w:w="3530" w:type="dxa"/>
            <w:shd w:val="clear" w:color="auto" w:fill="D9D9D9" w:themeFill="background1" w:themeFillShade="D9"/>
          </w:tcPr>
          <w:p w14:paraId="73031963" w14:textId="77777777" w:rsidR="003414BD" w:rsidRDefault="003414BD"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Informants should be granted an opportunity to assess the work the researcher produces.  For example</w:t>
            </w:r>
          </w:p>
          <w:p w14:paraId="58F1E027" w14:textId="77777777" w:rsidR="003414BD" w:rsidRDefault="003414BD" w:rsidP="002472C4">
            <w:pPr>
              <w:spacing w:line="276" w:lineRule="auto"/>
              <w:rPr>
                <w:rFonts w:asciiTheme="majorHAnsi" w:hAnsiTheme="majorHAnsi" w:cs="Arial"/>
                <w:noProof/>
                <w:color w:val="000000" w:themeColor="text1"/>
                <w:sz w:val="22"/>
                <w:szCs w:val="22"/>
              </w:rPr>
            </w:pPr>
          </w:p>
          <w:p w14:paraId="5231154E" w14:textId="77777777" w:rsidR="003414BD" w:rsidRDefault="003414BD" w:rsidP="002472C4">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During interviews, on several occasions, researchers should summarize their understanding of the answers—and ask the informant whether this depiction is correct</w:t>
            </w:r>
          </w:p>
          <w:p w14:paraId="400B22B5" w14:textId="77777777" w:rsidR="003414BD" w:rsidRDefault="003414BD" w:rsidP="002472C4">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Informants can read the transcripts of their interviews—because audios can be scratchy</w:t>
            </w:r>
          </w:p>
          <w:p w14:paraId="6FBEE509" w14:textId="77777777" w:rsidR="0010464D" w:rsidRDefault="003414BD" w:rsidP="002472C4">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Informants can be asked whether their answers are consistent with the emerging themes or concepts</w:t>
            </w:r>
          </w:p>
          <w:p w14:paraId="20A9A1BB" w14:textId="09657C64" w:rsidR="003414BD" w:rsidRPr="0010464D" w:rsidRDefault="003414BD" w:rsidP="002472C4">
            <w:pPr>
              <w:pStyle w:val="ListParagraph"/>
              <w:numPr>
                <w:ilvl w:val="0"/>
                <w:numId w:val="19"/>
              </w:numPr>
              <w:spacing w:line="276" w:lineRule="auto"/>
              <w:rPr>
                <w:rFonts w:asciiTheme="majorHAnsi" w:hAnsiTheme="majorHAnsi" w:cs="Arial"/>
                <w:noProof/>
                <w:color w:val="000000" w:themeColor="text1"/>
                <w:sz w:val="22"/>
                <w:szCs w:val="22"/>
              </w:rPr>
            </w:pPr>
            <w:r w:rsidRPr="0010464D">
              <w:rPr>
                <w:rFonts w:asciiTheme="majorHAnsi" w:hAnsiTheme="majorHAnsi" w:cs="Arial"/>
                <w:noProof/>
                <w:color w:val="000000" w:themeColor="text1"/>
                <w:sz w:val="22"/>
                <w:szCs w:val="22"/>
              </w:rPr>
              <w:t>Informants can be asked to offer explanations for some of the key findings that emerged</w:t>
            </w:r>
          </w:p>
        </w:tc>
        <w:tc>
          <w:tcPr>
            <w:tcW w:w="3091" w:type="dxa"/>
            <w:shd w:val="clear" w:color="auto" w:fill="D9D9D9" w:themeFill="background1" w:themeFillShade="D9"/>
          </w:tcPr>
          <w:p w14:paraId="3AB4CE17" w14:textId="77777777" w:rsidR="00C42FFE" w:rsidRDefault="003414BD" w:rsidP="002472C4">
            <w:pPr>
              <w:pStyle w:val="ListParagraph"/>
              <w:numPr>
                <w:ilvl w:val="0"/>
                <w:numId w:val="19"/>
              </w:numPr>
              <w:spacing w:line="276" w:lineRule="auto"/>
              <w:rPr>
                <w:rFonts w:asciiTheme="majorHAnsi" w:hAnsiTheme="majorHAnsi"/>
                <w:sz w:val="22"/>
                <w:szCs w:val="22"/>
              </w:rPr>
            </w:pPr>
            <w:r w:rsidRPr="005C3B4F">
              <w:rPr>
                <w:rFonts w:asciiTheme="majorHAnsi" w:hAnsiTheme="majorHAnsi"/>
                <w:sz w:val="22"/>
                <w:szCs w:val="22"/>
              </w:rPr>
              <w:t xml:space="preserve">See </w:t>
            </w:r>
            <w:r w:rsidRPr="005C3B4F">
              <w:rPr>
                <w:rFonts w:asciiTheme="majorHAnsi" w:hAnsiTheme="majorHAnsi" w:cs="Arial"/>
                <w:noProof/>
                <w:color w:val="000000" w:themeColor="text1"/>
                <w:sz w:val="22"/>
                <w:szCs w:val="22"/>
              </w:rPr>
              <w:t>Shenton (2004</w:t>
            </w:r>
            <w:r>
              <w:rPr>
                <w:rFonts w:asciiTheme="majorHAnsi" w:hAnsiTheme="majorHAnsi"/>
                <w:sz w:val="22"/>
                <w:szCs w:val="22"/>
              </w:rPr>
              <w:t>), Section 2l</w:t>
            </w:r>
          </w:p>
          <w:p w14:paraId="26AE56A1" w14:textId="4553189B" w:rsidR="003414BD" w:rsidRPr="00C42FFE" w:rsidRDefault="003414BD" w:rsidP="002472C4">
            <w:pPr>
              <w:pStyle w:val="ListParagraph"/>
              <w:numPr>
                <w:ilvl w:val="0"/>
                <w:numId w:val="19"/>
              </w:numPr>
              <w:spacing w:line="276" w:lineRule="auto"/>
              <w:rPr>
                <w:rFonts w:asciiTheme="majorHAnsi" w:hAnsiTheme="majorHAnsi"/>
                <w:sz w:val="22"/>
                <w:szCs w:val="22"/>
              </w:rPr>
            </w:pPr>
            <w:r w:rsidRPr="00C42FFE">
              <w:rPr>
                <w:rFonts w:asciiTheme="majorHAnsi" w:hAnsiTheme="majorHAnsi"/>
                <w:sz w:val="22"/>
                <w:szCs w:val="22"/>
              </w:rPr>
              <w:t>Cite Brewer &amp; Hunter (1989); Miles &amp; Huberman, (1994)</w:t>
            </w:r>
          </w:p>
        </w:tc>
      </w:tr>
    </w:tbl>
    <w:p w14:paraId="3265A74D" w14:textId="5F4A9C1C" w:rsidR="001273C8" w:rsidRDefault="001273C8" w:rsidP="001273C8">
      <w:pPr>
        <w:spacing w:line="276" w:lineRule="auto"/>
        <w:ind w:left="1985"/>
        <w:rPr>
          <w:rFonts w:asciiTheme="majorHAnsi" w:hAnsiTheme="majorHAnsi" w:cs="Arial"/>
          <w:noProof/>
          <w:color w:val="000000" w:themeColor="text1"/>
          <w:sz w:val="22"/>
          <w:szCs w:val="22"/>
        </w:rPr>
      </w:pPr>
    </w:p>
    <w:p w14:paraId="4C53D30F" w14:textId="46D4CE13" w:rsidR="00FB1608" w:rsidRDefault="00FB1608" w:rsidP="001273C8">
      <w:pPr>
        <w:spacing w:line="276" w:lineRule="auto"/>
        <w:ind w:left="1985"/>
        <w:rPr>
          <w:rFonts w:asciiTheme="majorHAnsi" w:hAnsiTheme="majorHAnsi" w:cs="Arial"/>
          <w:noProof/>
          <w:color w:val="000000" w:themeColor="text1"/>
          <w:sz w:val="22"/>
          <w:szCs w:val="22"/>
        </w:rPr>
      </w:pPr>
    </w:p>
    <w:p w14:paraId="30A844DC" w14:textId="77777777" w:rsidR="00FB1608" w:rsidRPr="000E1EAF" w:rsidRDefault="00FB1608" w:rsidP="00FB1608">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B1608" w:rsidRPr="000E1EAF" w14:paraId="6F40BCE0" w14:textId="77777777" w:rsidTr="00094D9B">
        <w:trPr>
          <w:trHeight w:val="313"/>
        </w:trPr>
        <w:tc>
          <w:tcPr>
            <w:tcW w:w="8188" w:type="dxa"/>
            <w:shd w:val="clear" w:color="auto" w:fill="B6DDE8" w:themeFill="accent5" w:themeFillTint="66"/>
          </w:tcPr>
          <w:p w14:paraId="4266726E" w14:textId="77777777" w:rsidR="00FB1608" w:rsidRPr="000E1EAF" w:rsidRDefault="00FB1608" w:rsidP="00094D9B">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Overview of supervision</w:t>
            </w:r>
          </w:p>
        </w:tc>
      </w:tr>
    </w:tbl>
    <w:p w14:paraId="219AD231" w14:textId="77777777" w:rsidR="00FB1608" w:rsidRDefault="00FB1608" w:rsidP="00FB1608">
      <w:pPr>
        <w:spacing w:line="276" w:lineRule="auto"/>
        <w:ind w:left="1985"/>
        <w:rPr>
          <w:rFonts w:asciiTheme="majorHAnsi" w:hAnsiTheme="majorHAnsi" w:cs="Arial"/>
          <w:noProof/>
          <w:color w:val="000000" w:themeColor="text1"/>
          <w:sz w:val="22"/>
          <w:szCs w:val="22"/>
        </w:rPr>
      </w:pPr>
    </w:p>
    <w:p w14:paraId="4B7E5C2B" w14:textId="77777777" w:rsidR="00FB1608" w:rsidRDefault="00FB1608" w:rsidP="00FB1608">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ab/>
        <w:t>When supervising a research candidate who wants to collect and analyze qualitative data, such as interviews, focus groups, and documents, you might encourage these individuals to complete the following activities, roughly in this order</w:t>
      </w:r>
    </w:p>
    <w:p w14:paraId="49A2CA91" w14:textId="77777777" w:rsidR="00FB1608" w:rsidRDefault="00FB1608" w:rsidP="00FB1608">
      <w:pPr>
        <w:spacing w:line="276" w:lineRule="auto"/>
        <w:ind w:left="1985"/>
        <w:rPr>
          <w:rFonts w:asciiTheme="majorHAnsi" w:hAnsiTheme="majorHAnsi" w:cs="Arial"/>
          <w:noProof/>
          <w:color w:val="000000" w:themeColor="text1"/>
          <w:sz w:val="22"/>
          <w:szCs w:val="22"/>
        </w:rPr>
      </w:pPr>
    </w:p>
    <w:p w14:paraId="0541FA91" w14:textId="77777777" w:rsidR="00FB1608" w:rsidRPr="00714C3B" w:rsidRDefault="00FB1608" w:rsidP="00FB1608">
      <w:pPr>
        <w:spacing w:line="276" w:lineRule="auto"/>
        <w:ind w:left="1985"/>
        <w:rPr>
          <w:rFonts w:asciiTheme="majorHAnsi" w:hAnsiTheme="majorHAnsi" w:cs="Arial"/>
          <w:b/>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253"/>
      </w:tblGrid>
      <w:tr w:rsidR="00FB1608" w:rsidRPr="00C72BEC" w14:paraId="09F31722" w14:textId="77777777" w:rsidTr="00094D9B">
        <w:trPr>
          <w:trHeight w:val="355"/>
        </w:trPr>
        <w:tc>
          <w:tcPr>
            <w:tcW w:w="3935" w:type="dxa"/>
            <w:shd w:val="clear" w:color="auto" w:fill="B6DDE8" w:themeFill="accent5" w:themeFillTint="66"/>
          </w:tcPr>
          <w:p w14:paraId="4F3630A4" w14:textId="77777777" w:rsidR="00FB1608" w:rsidRDefault="00FB1608" w:rsidP="00094D9B">
            <w:pPr>
              <w:spacing w:line="276" w:lineRule="auto"/>
              <w:jc w:val="center"/>
              <w:rPr>
                <w:rFonts w:asciiTheme="majorHAnsi" w:hAnsiTheme="majorHAnsi"/>
                <w:sz w:val="22"/>
                <w:szCs w:val="22"/>
              </w:rPr>
            </w:pPr>
            <w:r>
              <w:rPr>
                <w:rFonts w:asciiTheme="majorHAnsi" w:hAnsiTheme="majorHAnsi"/>
                <w:sz w:val="22"/>
                <w:szCs w:val="22"/>
              </w:rPr>
              <w:t>Activity candidate should complete</w:t>
            </w:r>
          </w:p>
        </w:tc>
        <w:tc>
          <w:tcPr>
            <w:tcW w:w="4253" w:type="dxa"/>
            <w:shd w:val="clear" w:color="auto" w:fill="B6DDE8" w:themeFill="accent5" w:themeFillTint="66"/>
          </w:tcPr>
          <w:p w14:paraId="6CF4E49C" w14:textId="77777777" w:rsidR="00FB1608" w:rsidRDefault="00FB1608" w:rsidP="00094D9B">
            <w:pPr>
              <w:spacing w:line="276" w:lineRule="auto"/>
              <w:jc w:val="center"/>
              <w:rPr>
                <w:rFonts w:asciiTheme="majorHAnsi" w:hAnsiTheme="majorHAnsi"/>
                <w:sz w:val="22"/>
                <w:szCs w:val="22"/>
              </w:rPr>
            </w:pPr>
            <w:r>
              <w:rPr>
                <w:rFonts w:asciiTheme="majorHAnsi" w:hAnsiTheme="majorHAnsi"/>
                <w:sz w:val="22"/>
                <w:szCs w:val="22"/>
              </w:rPr>
              <w:t>How to support this candidate</w:t>
            </w:r>
          </w:p>
        </w:tc>
      </w:tr>
      <w:tr w:rsidR="00FB1608" w:rsidRPr="00C72BEC" w14:paraId="170EF99F" w14:textId="77777777" w:rsidTr="00094D9B">
        <w:trPr>
          <w:trHeight w:val="369"/>
        </w:trPr>
        <w:tc>
          <w:tcPr>
            <w:tcW w:w="3935" w:type="dxa"/>
            <w:shd w:val="clear" w:color="auto" w:fill="D9D9D9" w:themeFill="background1" w:themeFillShade="D9"/>
          </w:tcPr>
          <w:p w14:paraId="4DCB1A8A" w14:textId="77777777" w:rsidR="00FB1608" w:rsidRPr="003D405B" w:rsidRDefault="00FB1608" w:rsidP="00094D9B">
            <w:pPr>
              <w:spacing w:line="276" w:lineRule="auto"/>
              <w:rPr>
                <w:rFonts w:asciiTheme="majorHAnsi" w:hAnsiTheme="majorHAnsi"/>
                <w:sz w:val="22"/>
                <w:szCs w:val="22"/>
              </w:rPr>
            </w:pPr>
            <w:r>
              <w:rPr>
                <w:rFonts w:asciiTheme="majorHAnsi" w:hAnsiTheme="majorHAnsi" w:cs="Arial"/>
                <w:noProof/>
                <w:color w:val="000000" w:themeColor="text1"/>
                <w:sz w:val="22"/>
                <w:szCs w:val="22"/>
              </w:rPr>
              <w:t>The candidates should immerse themselves in the communities or settings they want to study</w:t>
            </w:r>
          </w:p>
        </w:tc>
        <w:tc>
          <w:tcPr>
            <w:tcW w:w="4253" w:type="dxa"/>
            <w:shd w:val="clear" w:color="auto" w:fill="D9D9D9" w:themeFill="background1" w:themeFillShade="D9"/>
          </w:tcPr>
          <w:p w14:paraId="03C5F9E7" w14:textId="77777777" w:rsidR="00FB1608" w:rsidRDefault="00FB1608" w:rsidP="00094D9B">
            <w:pPr>
              <w:spacing w:line="276" w:lineRule="auto"/>
              <w:rPr>
                <w:rFonts w:asciiTheme="majorHAnsi" w:hAnsiTheme="majorHAnsi"/>
                <w:sz w:val="22"/>
                <w:szCs w:val="22"/>
              </w:rPr>
            </w:pPr>
            <w:r>
              <w:rPr>
                <w:rFonts w:asciiTheme="majorHAnsi" w:hAnsiTheme="majorHAnsi"/>
                <w:sz w:val="22"/>
                <w:szCs w:val="22"/>
              </w:rPr>
              <w:t>Ensure the candidates have</w:t>
            </w:r>
          </w:p>
          <w:p w14:paraId="5D10B742" w14:textId="77777777" w:rsidR="00FB1608" w:rsidRDefault="00FB1608" w:rsidP="00094D9B">
            <w:pPr>
              <w:spacing w:line="276" w:lineRule="auto"/>
              <w:rPr>
                <w:rFonts w:asciiTheme="majorHAnsi" w:hAnsiTheme="majorHAnsi"/>
                <w:sz w:val="22"/>
                <w:szCs w:val="22"/>
              </w:rPr>
            </w:pPr>
          </w:p>
          <w:p w14:paraId="65533C7C" w14:textId="77777777" w:rsidR="00FB1608" w:rsidRPr="007866F0" w:rsidRDefault="00FB1608" w:rsidP="00094D9B">
            <w:pPr>
              <w:pStyle w:val="ListParagraph"/>
              <w:numPr>
                <w:ilvl w:val="0"/>
                <w:numId w:val="25"/>
              </w:numPr>
              <w:spacing w:line="276" w:lineRule="auto"/>
              <w:rPr>
                <w:rFonts w:asciiTheme="majorHAnsi" w:hAnsiTheme="majorHAnsi"/>
                <w:sz w:val="22"/>
                <w:szCs w:val="22"/>
              </w:rPr>
            </w:pPr>
            <w:r w:rsidRPr="007866F0">
              <w:rPr>
                <w:rFonts w:asciiTheme="majorHAnsi" w:hAnsiTheme="majorHAnsi"/>
                <w:sz w:val="22"/>
                <w:szCs w:val="22"/>
              </w:rPr>
              <w:t>read the scholarly literature as well as informal literature, such as websites, brochures, and documents</w:t>
            </w:r>
          </w:p>
          <w:p w14:paraId="45445543" w14:textId="645DCE43" w:rsidR="00FB1608" w:rsidRPr="007866F0" w:rsidRDefault="00FB1608" w:rsidP="00094D9B">
            <w:pPr>
              <w:pStyle w:val="ListParagraph"/>
              <w:numPr>
                <w:ilvl w:val="0"/>
                <w:numId w:val="25"/>
              </w:numPr>
              <w:spacing w:line="276" w:lineRule="auto"/>
              <w:rPr>
                <w:rFonts w:asciiTheme="majorHAnsi" w:hAnsiTheme="majorHAnsi"/>
                <w:sz w:val="22"/>
                <w:szCs w:val="22"/>
              </w:rPr>
            </w:pPr>
            <w:r w:rsidRPr="007866F0">
              <w:rPr>
                <w:rFonts w:asciiTheme="majorHAnsi" w:hAnsiTheme="majorHAnsi"/>
                <w:sz w:val="22"/>
                <w:szCs w:val="22"/>
              </w:rPr>
              <w:t>attend</w:t>
            </w:r>
            <w:r>
              <w:rPr>
                <w:rFonts w:asciiTheme="majorHAnsi" w:hAnsiTheme="majorHAnsi"/>
                <w:sz w:val="22"/>
                <w:szCs w:val="22"/>
              </w:rPr>
              <w:t>ed</w:t>
            </w:r>
            <w:r w:rsidRPr="007866F0">
              <w:rPr>
                <w:rFonts w:asciiTheme="majorHAnsi" w:hAnsiTheme="majorHAnsi"/>
                <w:sz w:val="22"/>
                <w:szCs w:val="22"/>
              </w:rPr>
              <w:t xml:space="preserve"> events and participate</w:t>
            </w:r>
            <w:r>
              <w:rPr>
                <w:rFonts w:asciiTheme="majorHAnsi" w:hAnsiTheme="majorHAnsi"/>
                <w:sz w:val="22"/>
                <w:szCs w:val="22"/>
              </w:rPr>
              <w:t>d</w:t>
            </w:r>
            <w:r w:rsidRPr="007866F0">
              <w:rPr>
                <w:rFonts w:asciiTheme="majorHAnsi" w:hAnsiTheme="majorHAnsi"/>
                <w:sz w:val="22"/>
                <w:szCs w:val="22"/>
              </w:rPr>
              <w:t xml:space="preserve"> in activities, if appropriate</w:t>
            </w:r>
          </w:p>
          <w:p w14:paraId="6987BA9D" w14:textId="017EAEB9" w:rsidR="00FB1608" w:rsidRPr="007866F0" w:rsidRDefault="00FB1608" w:rsidP="00094D9B">
            <w:pPr>
              <w:pStyle w:val="ListParagraph"/>
              <w:numPr>
                <w:ilvl w:val="0"/>
                <w:numId w:val="25"/>
              </w:numPr>
              <w:spacing w:line="276" w:lineRule="auto"/>
              <w:rPr>
                <w:rFonts w:asciiTheme="majorHAnsi" w:hAnsiTheme="majorHAnsi"/>
                <w:sz w:val="22"/>
                <w:szCs w:val="22"/>
              </w:rPr>
            </w:pPr>
            <w:r w:rsidRPr="007866F0">
              <w:rPr>
                <w:rFonts w:asciiTheme="majorHAnsi" w:hAnsiTheme="majorHAnsi"/>
                <w:sz w:val="22"/>
                <w:szCs w:val="22"/>
              </w:rPr>
              <w:t>sp</w:t>
            </w:r>
            <w:r>
              <w:rPr>
                <w:rFonts w:asciiTheme="majorHAnsi" w:hAnsiTheme="majorHAnsi"/>
                <w:sz w:val="22"/>
                <w:szCs w:val="22"/>
              </w:rPr>
              <w:t xml:space="preserve">oken </w:t>
            </w:r>
            <w:r w:rsidRPr="007866F0">
              <w:rPr>
                <w:rFonts w:asciiTheme="majorHAnsi" w:hAnsiTheme="majorHAnsi"/>
                <w:sz w:val="22"/>
                <w:szCs w:val="22"/>
              </w:rPr>
              <w:t>to members informally</w:t>
            </w:r>
          </w:p>
        </w:tc>
      </w:tr>
      <w:tr w:rsidR="00FB1608" w:rsidRPr="00C72BEC" w14:paraId="0EA004DD" w14:textId="77777777" w:rsidTr="00094D9B">
        <w:trPr>
          <w:trHeight w:val="369"/>
        </w:trPr>
        <w:tc>
          <w:tcPr>
            <w:tcW w:w="3935" w:type="dxa"/>
            <w:shd w:val="clear" w:color="auto" w:fill="D9D9D9" w:themeFill="background1" w:themeFillShade="D9"/>
          </w:tcPr>
          <w:p w14:paraId="348B0169" w14:textId="77777777" w:rsidR="00FB1608" w:rsidRPr="005F4D18" w:rsidRDefault="00FB1608" w:rsidP="00094D9B">
            <w:pPr>
              <w:spacing w:line="276" w:lineRule="auto"/>
              <w:rPr>
                <w:rFonts w:asciiTheme="majorHAnsi" w:hAnsiTheme="majorHAnsi"/>
                <w:sz w:val="22"/>
                <w:szCs w:val="22"/>
              </w:rPr>
            </w:pPr>
            <w:r>
              <w:rPr>
                <w:rFonts w:asciiTheme="majorHAnsi" w:hAnsiTheme="majorHAnsi" w:cs="Arial"/>
                <w:noProof/>
                <w:color w:val="000000" w:themeColor="text1"/>
                <w:sz w:val="22"/>
                <w:szCs w:val="22"/>
              </w:rPr>
              <w:t>The candidates should contemplate the research questions they might want to explore</w:t>
            </w:r>
          </w:p>
        </w:tc>
        <w:tc>
          <w:tcPr>
            <w:tcW w:w="4253" w:type="dxa"/>
            <w:shd w:val="clear" w:color="auto" w:fill="D9D9D9" w:themeFill="background1" w:themeFillShade="D9"/>
          </w:tcPr>
          <w:p w14:paraId="53C1D8E8" w14:textId="77777777" w:rsidR="00FB1608" w:rsidRDefault="00FB1608" w:rsidP="00094D9B">
            <w:pPr>
              <w:spacing w:line="276" w:lineRule="auto"/>
              <w:rPr>
                <w:rFonts w:asciiTheme="majorHAnsi" w:hAnsiTheme="majorHAnsi"/>
                <w:sz w:val="22"/>
                <w:szCs w:val="22"/>
              </w:rPr>
            </w:pPr>
            <w:r>
              <w:rPr>
                <w:rFonts w:asciiTheme="majorHAnsi" w:hAnsiTheme="majorHAnsi"/>
                <w:sz w:val="22"/>
                <w:szCs w:val="22"/>
              </w:rPr>
              <w:t>Encourage candidates to develop questions that</w:t>
            </w:r>
          </w:p>
          <w:p w14:paraId="4EAB2C39" w14:textId="77777777" w:rsidR="00FB1608" w:rsidRDefault="00FB1608" w:rsidP="00094D9B">
            <w:pPr>
              <w:spacing w:line="276" w:lineRule="auto"/>
              <w:rPr>
                <w:rFonts w:asciiTheme="majorHAnsi" w:hAnsiTheme="majorHAnsi"/>
                <w:sz w:val="22"/>
                <w:szCs w:val="22"/>
              </w:rPr>
            </w:pPr>
          </w:p>
          <w:p w14:paraId="17CC6EC9" w14:textId="7F9F702A" w:rsidR="00FB1608" w:rsidRDefault="00FB1608" w:rsidP="00094D9B">
            <w:pPr>
              <w:pStyle w:val="ListParagraph"/>
              <w:numPr>
                <w:ilvl w:val="0"/>
                <w:numId w:val="27"/>
              </w:numPr>
              <w:spacing w:line="276" w:lineRule="auto"/>
              <w:rPr>
                <w:rFonts w:asciiTheme="majorHAnsi" w:hAnsiTheme="majorHAnsi"/>
                <w:sz w:val="22"/>
                <w:szCs w:val="22"/>
              </w:rPr>
            </w:pPr>
            <w:r>
              <w:rPr>
                <w:rFonts w:asciiTheme="majorHAnsi" w:hAnsiTheme="majorHAnsi"/>
                <w:sz w:val="22"/>
                <w:szCs w:val="22"/>
              </w:rPr>
              <w:t>accord with the suggestions and needs of community members</w:t>
            </w:r>
          </w:p>
          <w:p w14:paraId="18C2D3F6" w14:textId="46DFBE19" w:rsidR="00FB1608" w:rsidRDefault="00FB1608" w:rsidP="00094D9B">
            <w:pPr>
              <w:pStyle w:val="ListParagraph"/>
              <w:numPr>
                <w:ilvl w:val="0"/>
                <w:numId w:val="27"/>
              </w:numPr>
              <w:spacing w:line="276" w:lineRule="auto"/>
              <w:rPr>
                <w:rFonts w:asciiTheme="majorHAnsi" w:hAnsiTheme="majorHAnsi"/>
                <w:sz w:val="22"/>
                <w:szCs w:val="22"/>
              </w:rPr>
            </w:pPr>
            <w:r>
              <w:rPr>
                <w:rFonts w:asciiTheme="majorHAnsi" w:hAnsiTheme="majorHAnsi"/>
                <w:sz w:val="22"/>
                <w:szCs w:val="22"/>
              </w:rPr>
              <w:t>explore some fundamental paradox—a contradiction or obstacle that cannot be reconciled easily</w:t>
            </w:r>
          </w:p>
          <w:p w14:paraId="054A4E07" w14:textId="7EE1A815" w:rsidR="00FB1608" w:rsidRPr="00635D1D" w:rsidRDefault="00FB1608" w:rsidP="00094D9B">
            <w:pPr>
              <w:pStyle w:val="ListParagraph"/>
              <w:numPr>
                <w:ilvl w:val="0"/>
                <w:numId w:val="27"/>
              </w:numPr>
              <w:spacing w:line="276" w:lineRule="auto"/>
              <w:rPr>
                <w:rFonts w:asciiTheme="majorHAnsi" w:hAnsiTheme="majorHAnsi"/>
                <w:sz w:val="22"/>
                <w:szCs w:val="22"/>
              </w:rPr>
            </w:pPr>
            <w:r>
              <w:rPr>
                <w:rFonts w:asciiTheme="majorHAnsi" w:hAnsiTheme="majorHAnsi"/>
                <w:sz w:val="22"/>
                <w:szCs w:val="22"/>
              </w:rPr>
              <w:t>utilizes either their distinct talents passions—or the strengths and achievements of their university</w:t>
            </w:r>
          </w:p>
        </w:tc>
      </w:tr>
      <w:tr w:rsidR="00FB1608" w:rsidRPr="00C72BEC" w14:paraId="2AF045F1" w14:textId="77777777" w:rsidTr="00094D9B">
        <w:trPr>
          <w:trHeight w:val="369"/>
        </w:trPr>
        <w:tc>
          <w:tcPr>
            <w:tcW w:w="3935" w:type="dxa"/>
            <w:shd w:val="clear" w:color="auto" w:fill="D9D9D9" w:themeFill="background1" w:themeFillShade="D9"/>
          </w:tcPr>
          <w:p w14:paraId="2BE74D1B" w14:textId="77777777" w:rsidR="00FB1608" w:rsidRPr="005F4D18" w:rsidRDefault="00FB1608" w:rsidP="00094D9B">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The candidates should decide on which theoretical perspectives, methodologies, and methods might be suitable. </w:t>
            </w:r>
          </w:p>
        </w:tc>
        <w:tc>
          <w:tcPr>
            <w:tcW w:w="4253" w:type="dxa"/>
            <w:shd w:val="clear" w:color="auto" w:fill="D9D9D9" w:themeFill="background1" w:themeFillShade="D9"/>
          </w:tcPr>
          <w:p w14:paraId="6385CED6" w14:textId="77777777" w:rsidR="00FB1608" w:rsidRDefault="00FB1608" w:rsidP="00094D9B">
            <w:pPr>
              <w:spacing w:line="276" w:lineRule="auto"/>
              <w:rPr>
                <w:rFonts w:asciiTheme="majorHAnsi" w:hAnsiTheme="majorHAnsi"/>
                <w:sz w:val="22"/>
                <w:szCs w:val="22"/>
              </w:rPr>
            </w:pPr>
            <w:r>
              <w:rPr>
                <w:rFonts w:asciiTheme="majorHAnsi" w:hAnsiTheme="majorHAnsi"/>
                <w:sz w:val="22"/>
                <w:szCs w:val="22"/>
              </w:rPr>
              <w:t>Encourage candidates to</w:t>
            </w:r>
          </w:p>
          <w:p w14:paraId="1F5CD344" w14:textId="77777777" w:rsidR="00FB1608" w:rsidRDefault="00FB1608" w:rsidP="00094D9B">
            <w:pPr>
              <w:spacing w:line="276" w:lineRule="auto"/>
              <w:rPr>
                <w:rFonts w:asciiTheme="majorHAnsi" w:hAnsiTheme="majorHAnsi"/>
                <w:sz w:val="22"/>
                <w:szCs w:val="22"/>
              </w:rPr>
            </w:pPr>
          </w:p>
          <w:p w14:paraId="4721A448" w14:textId="0BE18CAB" w:rsidR="00FB1608" w:rsidRDefault="00FB1608" w:rsidP="00094D9B">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proceed to “Choosing your research methodology and methods” on the website of useful materials for HDR candidates; read the document on choosing suitable qualitative approaches</w:t>
            </w:r>
          </w:p>
          <w:p w14:paraId="70A82A0E" w14:textId="7713B863" w:rsidR="00FB1608" w:rsidRDefault="00FB1608" w:rsidP="00094D9B">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 xml:space="preserve">guide candidates as they utilize this </w:t>
            </w:r>
            <w:r>
              <w:rPr>
                <w:rFonts w:asciiTheme="majorHAnsi" w:hAnsiTheme="majorHAnsi"/>
                <w:sz w:val="22"/>
                <w:szCs w:val="22"/>
              </w:rPr>
              <w:lastRenderedPageBreak/>
              <w:t>material—or other guidelines—to help them clarify which approaches they will apply</w:t>
            </w:r>
          </w:p>
          <w:p w14:paraId="7E625B5C" w14:textId="77777777" w:rsidR="00FB1608" w:rsidRDefault="00FB1608" w:rsidP="00094D9B">
            <w:pPr>
              <w:spacing w:line="276" w:lineRule="auto"/>
              <w:rPr>
                <w:rFonts w:asciiTheme="majorHAnsi" w:hAnsiTheme="majorHAnsi"/>
                <w:sz w:val="22"/>
                <w:szCs w:val="22"/>
              </w:rPr>
            </w:pPr>
          </w:p>
          <w:p w14:paraId="1E57D76D" w14:textId="77777777" w:rsidR="00FB1608" w:rsidRPr="007866F0" w:rsidRDefault="00FB1608" w:rsidP="00094D9B">
            <w:pPr>
              <w:spacing w:line="276" w:lineRule="auto"/>
              <w:rPr>
                <w:rFonts w:asciiTheme="majorHAnsi" w:hAnsiTheme="majorHAnsi"/>
                <w:sz w:val="22"/>
                <w:szCs w:val="22"/>
              </w:rPr>
            </w:pPr>
            <w:r>
              <w:rPr>
                <w:rFonts w:asciiTheme="majorHAnsi" w:hAnsiTheme="majorHAnsi"/>
                <w:sz w:val="22"/>
                <w:szCs w:val="22"/>
              </w:rPr>
              <w:t xml:space="preserve">Supervisors should be familiar, or at least become familiar, with these </w:t>
            </w:r>
            <w:r>
              <w:rPr>
                <w:rFonts w:asciiTheme="majorHAnsi" w:hAnsiTheme="majorHAnsi" w:cs="Arial"/>
                <w:noProof/>
                <w:color w:val="000000" w:themeColor="text1"/>
                <w:sz w:val="22"/>
                <w:szCs w:val="22"/>
              </w:rPr>
              <w:t xml:space="preserve">theoretical perspectives, methodologies, and methods.  They might, for example, need to read a few chapters to familiarize themselves with the approaches the candidate adopts. </w:t>
            </w:r>
            <w:r>
              <w:rPr>
                <w:rFonts w:asciiTheme="majorHAnsi" w:hAnsiTheme="majorHAnsi"/>
                <w:sz w:val="22"/>
                <w:szCs w:val="22"/>
              </w:rPr>
              <w:t xml:space="preserve"> </w:t>
            </w:r>
            <w:r w:rsidRPr="00635D1D">
              <w:rPr>
                <w:rFonts w:asciiTheme="majorHAnsi" w:hAnsiTheme="majorHAnsi"/>
                <w:sz w:val="22"/>
                <w:szCs w:val="22"/>
              </w:rPr>
              <w:t xml:space="preserve">   </w:t>
            </w:r>
          </w:p>
        </w:tc>
      </w:tr>
      <w:tr w:rsidR="00FB1608" w:rsidRPr="00C72BEC" w14:paraId="3B73639F" w14:textId="77777777" w:rsidTr="00094D9B">
        <w:trPr>
          <w:trHeight w:val="369"/>
        </w:trPr>
        <w:tc>
          <w:tcPr>
            <w:tcW w:w="3935" w:type="dxa"/>
            <w:shd w:val="clear" w:color="auto" w:fill="D9D9D9" w:themeFill="background1" w:themeFillShade="D9"/>
          </w:tcPr>
          <w:p w14:paraId="5EB8041E" w14:textId="77777777" w:rsidR="00FB1608" w:rsidRPr="005F4D18" w:rsidRDefault="00FB1608" w:rsidP="00094D9B">
            <w:pPr>
              <w:spacing w:line="276" w:lineRule="auto"/>
              <w:rPr>
                <w:rFonts w:asciiTheme="majorHAnsi" w:hAnsiTheme="majorHAnsi"/>
                <w:sz w:val="22"/>
                <w:szCs w:val="22"/>
              </w:rPr>
            </w:pPr>
            <w:r>
              <w:rPr>
                <w:rFonts w:asciiTheme="majorHAnsi" w:hAnsiTheme="majorHAnsi" w:cs="Arial"/>
                <w:noProof/>
                <w:color w:val="000000" w:themeColor="text1"/>
                <w:sz w:val="22"/>
                <w:szCs w:val="22"/>
              </w:rPr>
              <w:lastRenderedPageBreak/>
              <w:t>Besides implementing these methodologies and methods, the candidates should also introduce a range of techniques to improve the quality of their research—techniques that are applicable to most qualitative paradigms</w:t>
            </w:r>
          </w:p>
        </w:tc>
        <w:tc>
          <w:tcPr>
            <w:tcW w:w="4253" w:type="dxa"/>
            <w:shd w:val="clear" w:color="auto" w:fill="D9D9D9" w:themeFill="background1" w:themeFillShade="D9"/>
          </w:tcPr>
          <w:p w14:paraId="5482DD5F" w14:textId="67846416" w:rsidR="00FB1608" w:rsidRPr="003D405B" w:rsidRDefault="00FB1608" w:rsidP="00094D9B">
            <w:pPr>
              <w:spacing w:line="276" w:lineRule="auto"/>
              <w:rPr>
                <w:rFonts w:asciiTheme="majorHAnsi" w:hAnsiTheme="majorHAnsi"/>
                <w:sz w:val="22"/>
                <w:szCs w:val="22"/>
              </w:rPr>
            </w:pPr>
            <w:r>
              <w:rPr>
                <w:rFonts w:asciiTheme="majorHAnsi" w:hAnsiTheme="majorHAnsi"/>
                <w:sz w:val="22"/>
                <w:szCs w:val="22"/>
              </w:rPr>
              <w:t xml:space="preserve">Supervisors should </w:t>
            </w:r>
            <w:r w:rsidR="00C37115">
              <w:rPr>
                <w:rFonts w:asciiTheme="majorHAnsi" w:hAnsiTheme="majorHAnsi"/>
                <w:sz w:val="22"/>
                <w:szCs w:val="22"/>
              </w:rPr>
              <w:t>have read the first section of this</w:t>
            </w:r>
            <w:r>
              <w:rPr>
                <w:rFonts w:asciiTheme="majorHAnsi" w:hAnsiTheme="majorHAnsi"/>
                <w:sz w:val="22"/>
                <w:szCs w:val="22"/>
              </w:rPr>
              <w:t xml:space="preserve"> document to familiarize themselves with these techniques and practices.  </w:t>
            </w:r>
          </w:p>
        </w:tc>
      </w:tr>
    </w:tbl>
    <w:p w14:paraId="6CF290C2" w14:textId="04B50C57" w:rsidR="00FB1608" w:rsidRDefault="00FB1608" w:rsidP="001273C8">
      <w:pPr>
        <w:spacing w:line="276" w:lineRule="auto"/>
        <w:ind w:left="1985"/>
        <w:rPr>
          <w:rFonts w:asciiTheme="majorHAnsi" w:hAnsiTheme="majorHAnsi" w:cs="Arial"/>
          <w:noProof/>
          <w:color w:val="000000" w:themeColor="text1"/>
          <w:sz w:val="22"/>
          <w:szCs w:val="22"/>
        </w:rPr>
      </w:pPr>
    </w:p>
    <w:p w14:paraId="30A70F31" w14:textId="13FE9D60" w:rsidR="00C37115" w:rsidRDefault="00C37115" w:rsidP="001273C8">
      <w:pPr>
        <w:spacing w:line="276" w:lineRule="auto"/>
        <w:ind w:left="1985"/>
        <w:rPr>
          <w:rFonts w:asciiTheme="majorHAnsi" w:hAnsiTheme="majorHAnsi" w:cs="Arial"/>
          <w:noProof/>
          <w:color w:val="000000" w:themeColor="text1"/>
          <w:sz w:val="22"/>
          <w:szCs w:val="22"/>
        </w:rPr>
      </w:pPr>
    </w:p>
    <w:p w14:paraId="29E825CC" w14:textId="49FEC63F" w:rsidR="00C37115" w:rsidRDefault="00C37115" w:rsidP="001273C8">
      <w:pPr>
        <w:spacing w:line="276" w:lineRule="auto"/>
        <w:ind w:left="1985"/>
        <w:rPr>
          <w:rFonts w:asciiTheme="majorHAnsi" w:hAnsiTheme="majorHAnsi" w:cs="Arial"/>
          <w:noProof/>
          <w:color w:val="000000" w:themeColor="text1"/>
          <w:sz w:val="22"/>
          <w:szCs w:val="22"/>
        </w:rPr>
      </w:pPr>
    </w:p>
    <w:p w14:paraId="4E082F22" w14:textId="77777777" w:rsidR="00C37115" w:rsidRDefault="00C37115" w:rsidP="001273C8">
      <w:pPr>
        <w:spacing w:line="276" w:lineRule="auto"/>
        <w:ind w:left="1985"/>
        <w:rPr>
          <w:rFonts w:asciiTheme="majorHAnsi" w:hAnsiTheme="majorHAnsi" w:cs="Arial"/>
          <w:noProof/>
          <w:color w:val="000000" w:themeColor="text1"/>
          <w:sz w:val="22"/>
          <w:szCs w:val="22"/>
        </w:rPr>
      </w:pPr>
    </w:p>
    <w:p w14:paraId="1384E9C0" w14:textId="36C246CA" w:rsidR="00F51513" w:rsidRPr="000E1EAF" w:rsidRDefault="00B91103" w:rsidP="00F51513">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51513" w:rsidRPr="000E1EAF" w14:paraId="6C8A9C95" w14:textId="77777777" w:rsidTr="002472C4">
        <w:trPr>
          <w:trHeight w:val="313"/>
        </w:trPr>
        <w:tc>
          <w:tcPr>
            <w:tcW w:w="8188" w:type="dxa"/>
            <w:shd w:val="clear" w:color="auto" w:fill="B6DDE8" w:themeFill="accent5" w:themeFillTint="66"/>
          </w:tcPr>
          <w:p w14:paraId="6D082544" w14:textId="2B70469B" w:rsidR="00F51513" w:rsidRPr="000E1EAF" w:rsidRDefault="00F51513"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1CA5FC23" w14:textId="77777777" w:rsidR="00F51513" w:rsidRDefault="00F51513" w:rsidP="00F51513">
      <w:pPr>
        <w:spacing w:line="276" w:lineRule="auto"/>
        <w:ind w:left="1985"/>
        <w:rPr>
          <w:rFonts w:asciiTheme="majorHAnsi" w:hAnsiTheme="majorHAnsi" w:cs="Arial"/>
          <w:noProof/>
          <w:color w:val="000000" w:themeColor="text1"/>
          <w:sz w:val="22"/>
          <w:szCs w:val="22"/>
        </w:rPr>
      </w:pPr>
    </w:p>
    <w:p w14:paraId="4AB3A402" w14:textId="14423CC3" w:rsidR="00635DFF" w:rsidRDefault="00635DFF" w:rsidP="00F51513">
      <w:pPr>
        <w:spacing w:line="276" w:lineRule="auto"/>
        <w:ind w:left="1985"/>
        <w:rPr>
          <w:rFonts w:asciiTheme="majorHAnsi" w:hAnsiTheme="majorHAnsi" w:cs="Arial"/>
          <w:noProof/>
          <w:color w:val="000000" w:themeColor="text1"/>
          <w:sz w:val="22"/>
          <w:szCs w:val="22"/>
        </w:rPr>
      </w:pPr>
      <w:r w:rsidRPr="00635DFF">
        <w:rPr>
          <w:rFonts w:asciiTheme="majorHAnsi" w:hAnsiTheme="majorHAnsi" w:cs="Arial"/>
          <w:noProof/>
          <w:color w:val="000000" w:themeColor="text1"/>
          <w:sz w:val="22"/>
          <w:szCs w:val="22"/>
        </w:rPr>
        <w:t>Akkerman, S., Admiral, W., Brekelmans, M. and Oost, H. (2006). Auditing quality of research in social sciences. Quality and Quantity, 42 (2).</w:t>
      </w:r>
    </w:p>
    <w:p w14:paraId="4C21AFA0" w14:textId="77777777" w:rsidR="00635DFF" w:rsidRDefault="00635DFF" w:rsidP="00F51513">
      <w:pPr>
        <w:spacing w:line="276" w:lineRule="auto"/>
        <w:ind w:left="1985"/>
        <w:rPr>
          <w:rFonts w:asciiTheme="majorHAnsi" w:hAnsiTheme="majorHAnsi" w:cs="Arial"/>
          <w:noProof/>
          <w:color w:val="000000" w:themeColor="text1"/>
          <w:sz w:val="22"/>
          <w:szCs w:val="22"/>
        </w:rPr>
      </w:pPr>
    </w:p>
    <w:p w14:paraId="3F4D111A" w14:textId="49CC685D" w:rsidR="00F02831" w:rsidRDefault="00F02831" w:rsidP="00F51513">
      <w:pPr>
        <w:spacing w:line="276" w:lineRule="auto"/>
        <w:ind w:left="1985"/>
        <w:rPr>
          <w:rFonts w:asciiTheme="majorHAnsi" w:hAnsiTheme="majorHAnsi" w:cs="Arial"/>
          <w:noProof/>
          <w:color w:val="000000" w:themeColor="text1"/>
          <w:sz w:val="22"/>
          <w:szCs w:val="22"/>
        </w:rPr>
      </w:pPr>
      <w:r w:rsidRPr="00F02831">
        <w:rPr>
          <w:rFonts w:asciiTheme="majorHAnsi" w:hAnsiTheme="majorHAnsi" w:cs="Arial"/>
          <w:noProof/>
          <w:color w:val="000000" w:themeColor="text1"/>
          <w:sz w:val="22"/>
          <w:szCs w:val="22"/>
        </w:rPr>
        <w:t>Baxter</w:t>
      </w:r>
      <w:r>
        <w:rPr>
          <w:rFonts w:asciiTheme="majorHAnsi" w:hAnsiTheme="majorHAnsi" w:cs="Arial"/>
          <w:noProof/>
          <w:color w:val="000000" w:themeColor="text1"/>
          <w:sz w:val="22"/>
          <w:szCs w:val="22"/>
        </w:rPr>
        <w:t>,</w:t>
      </w:r>
      <w:r w:rsidRPr="00F02831">
        <w:rPr>
          <w:rFonts w:asciiTheme="majorHAnsi" w:hAnsiTheme="majorHAnsi" w:cs="Arial"/>
          <w:noProof/>
          <w:color w:val="000000" w:themeColor="text1"/>
          <w:sz w:val="22"/>
          <w:szCs w:val="22"/>
        </w:rPr>
        <w:t xml:space="preserve"> J</w:t>
      </w:r>
      <w:r>
        <w:rPr>
          <w:rFonts w:asciiTheme="majorHAnsi" w:hAnsiTheme="majorHAnsi" w:cs="Arial"/>
          <w:noProof/>
          <w:color w:val="000000" w:themeColor="text1"/>
          <w:sz w:val="22"/>
          <w:szCs w:val="22"/>
        </w:rPr>
        <w:t>.</w:t>
      </w:r>
      <w:r w:rsidRPr="00F02831">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&amp; </w:t>
      </w:r>
      <w:r w:rsidRPr="00F02831">
        <w:rPr>
          <w:rFonts w:asciiTheme="majorHAnsi" w:hAnsiTheme="majorHAnsi" w:cs="Arial"/>
          <w:noProof/>
          <w:color w:val="000000" w:themeColor="text1"/>
          <w:sz w:val="22"/>
          <w:szCs w:val="22"/>
        </w:rPr>
        <w:t>Eyles</w:t>
      </w:r>
      <w:r>
        <w:rPr>
          <w:rFonts w:asciiTheme="majorHAnsi" w:hAnsiTheme="majorHAnsi" w:cs="Arial"/>
          <w:noProof/>
          <w:color w:val="000000" w:themeColor="text1"/>
          <w:sz w:val="22"/>
          <w:szCs w:val="22"/>
        </w:rPr>
        <w:t>,</w:t>
      </w:r>
      <w:r w:rsidRPr="00F02831">
        <w:rPr>
          <w:rFonts w:asciiTheme="majorHAnsi" w:hAnsiTheme="majorHAnsi" w:cs="Arial"/>
          <w:noProof/>
          <w:color w:val="000000" w:themeColor="text1"/>
          <w:sz w:val="22"/>
          <w:szCs w:val="22"/>
        </w:rPr>
        <w:t xml:space="preserve"> J</w:t>
      </w:r>
      <w:r>
        <w:rPr>
          <w:rFonts w:asciiTheme="majorHAnsi" w:hAnsiTheme="majorHAnsi" w:cs="Arial"/>
          <w:noProof/>
          <w:color w:val="000000" w:themeColor="text1"/>
          <w:sz w:val="22"/>
          <w:szCs w:val="22"/>
        </w:rPr>
        <w:t>.</w:t>
      </w:r>
      <w:r w:rsidRPr="00F02831">
        <w:rPr>
          <w:rFonts w:asciiTheme="majorHAnsi" w:hAnsiTheme="majorHAnsi" w:cs="Arial"/>
          <w:noProof/>
          <w:color w:val="000000" w:themeColor="text1"/>
          <w:sz w:val="22"/>
          <w:szCs w:val="22"/>
        </w:rPr>
        <w:t xml:space="preserve"> (1997)</w:t>
      </w:r>
      <w:r>
        <w:rPr>
          <w:rFonts w:asciiTheme="majorHAnsi" w:hAnsiTheme="majorHAnsi" w:cs="Arial"/>
          <w:noProof/>
          <w:color w:val="000000" w:themeColor="text1"/>
          <w:sz w:val="22"/>
          <w:szCs w:val="22"/>
        </w:rPr>
        <w:t>.</w:t>
      </w:r>
      <w:r w:rsidRPr="00F02831">
        <w:rPr>
          <w:rFonts w:asciiTheme="majorHAnsi" w:hAnsiTheme="majorHAnsi" w:cs="Arial"/>
          <w:noProof/>
          <w:color w:val="000000" w:themeColor="text1"/>
          <w:sz w:val="22"/>
          <w:szCs w:val="22"/>
        </w:rPr>
        <w:t xml:space="preserve"> Evaluating qualitative research in social geography: establishing ‘rigour’ in interview analysis. Transactions of the Institute of British Geographers</w:t>
      </w:r>
      <w:r>
        <w:rPr>
          <w:rFonts w:asciiTheme="majorHAnsi" w:hAnsiTheme="majorHAnsi" w:cs="Arial"/>
          <w:noProof/>
          <w:color w:val="000000" w:themeColor="text1"/>
          <w:sz w:val="22"/>
          <w:szCs w:val="22"/>
        </w:rPr>
        <w:t>, 22(4),</w:t>
      </w:r>
      <w:r w:rsidRPr="00F02831">
        <w:rPr>
          <w:rFonts w:asciiTheme="majorHAnsi" w:hAnsiTheme="majorHAnsi" w:cs="Arial"/>
          <w:noProof/>
          <w:color w:val="000000" w:themeColor="text1"/>
          <w:sz w:val="22"/>
          <w:szCs w:val="22"/>
        </w:rPr>
        <w:t xml:space="preserve"> 505–525</w:t>
      </w:r>
    </w:p>
    <w:p w14:paraId="034FEBC3" w14:textId="77777777" w:rsidR="00F02831" w:rsidRDefault="00F02831" w:rsidP="00F51513">
      <w:pPr>
        <w:spacing w:line="276" w:lineRule="auto"/>
        <w:ind w:left="1985"/>
        <w:rPr>
          <w:rFonts w:asciiTheme="majorHAnsi" w:hAnsiTheme="majorHAnsi" w:cs="Arial"/>
          <w:noProof/>
          <w:color w:val="000000" w:themeColor="text1"/>
          <w:sz w:val="22"/>
          <w:szCs w:val="22"/>
        </w:rPr>
      </w:pPr>
    </w:p>
    <w:p w14:paraId="4E3CC9F1" w14:textId="17AF5C80" w:rsidR="005C3B4F" w:rsidRDefault="005C3B4F" w:rsidP="005C3B4F">
      <w:pPr>
        <w:spacing w:line="276" w:lineRule="auto"/>
        <w:ind w:left="1985"/>
        <w:rPr>
          <w:rFonts w:asciiTheme="majorHAnsi" w:hAnsiTheme="majorHAnsi" w:cs="Arial"/>
          <w:noProof/>
          <w:color w:val="000000" w:themeColor="text1"/>
          <w:sz w:val="22"/>
          <w:szCs w:val="22"/>
        </w:rPr>
      </w:pPr>
      <w:r w:rsidRPr="005C3B4F">
        <w:rPr>
          <w:rFonts w:asciiTheme="majorHAnsi" w:hAnsiTheme="majorHAnsi" w:cs="Arial"/>
          <w:noProof/>
          <w:color w:val="000000" w:themeColor="text1"/>
          <w:sz w:val="22"/>
          <w:szCs w:val="22"/>
        </w:rPr>
        <w:t>Bouma</w:t>
      </w:r>
      <w:r>
        <w:rPr>
          <w:rFonts w:asciiTheme="majorHAnsi" w:hAnsiTheme="majorHAnsi" w:cs="Arial"/>
          <w:noProof/>
          <w:color w:val="000000" w:themeColor="text1"/>
          <w:sz w:val="22"/>
          <w:szCs w:val="22"/>
        </w:rPr>
        <w:t>,</w:t>
      </w:r>
      <w:r w:rsidRPr="005C3B4F">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G. D., &amp; </w:t>
      </w:r>
      <w:r w:rsidRPr="005C3B4F">
        <w:rPr>
          <w:rFonts w:asciiTheme="majorHAnsi" w:hAnsiTheme="majorHAnsi" w:cs="Arial"/>
          <w:noProof/>
          <w:color w:val="000000" w:themeColor="text1"/>
          <w:sz w:val="22"/>
          <w:szCs w:val="22"/>
        </w:rPr>
        <w:t>Atkinson, G.</w:t>
      </w:r>
      <w:r>
        <w:rPr>
          <w:rFonts w:asciiTheme="majorHAnsi" w:hAnsiTheme="majorHAnsi" w:cs="Arial"/>
          <w:noProof/>
          <w:color w:val="000000" w:themeColor="text1"/>
          <w:sz w:val="22"/>
          <w:szCs w:val="22"/>
        </w:rPr>
        <w:t xml:space="preserve"> </w:t>
      </w:r>
      <w:r w:rsidRPr="005C3B4F">
        <w:rPr>
          <w:rFonts w:asciiTheme="majorHAnsi" w:hAnsiTheme="majorHAnsi" w:cs="Arial"/>
          <w:noProof/>
          <w:color w:val="000000" w:themeColor="text1"/>
          <w:sz w:val="22"/>
          <w:szCs w:val="22"/>
        </w:rPr>
        <w:t>B.</w:t>
      </w:r>
      <w:r>
        <w:rPr>
          <w:rFonts w:asciiTheme="majorHAnsi" w:hAnsiTheme="majorHAnsi" w:cs="Arial"/>
          <w:noProof/>
          <w:color w:val="000000" w:themeColor="text1"/>
          <w:sz w:val="22"/>
          <w:szCs w:val="22"/>
        </w:rPr>
        <w:t xml:space="preserve"> </w:t>
      </w:r>
      <w:r w:rsidRPr="005C3B4F">
        <w:rPr>
          <w:rFonts w:asciiTheme="majorHAnsi" w:hAnsiTheme="majorHAnsi" w:cs="Arial"/>
          <w:noProof/>
          <w:color w:val="000000" w:themeColor="text1"/>
          <w:sz w:val="22"/>
          <w:szCs w:val="22"/>
        </w:rPr>
        <w:t xml:space="preserve">J. </w:t>
      </w:r>
      <w:r>
        <w:rPr>
          <w:rFonts w:asciiTheme="majorHAnsi" w:hAnsiTheme="majorHAnsi" w:cs="Arial"/>
          <w:noProof/>
          <w:color w:val="000000" w:themeColor="text1"/>
          <w:sz w:val="22"/>
          <w:szCs w:val="22"/>
        </w:rPr>
        <w:t xml:space="preserve">(1995).  </w:t>
      </w:r>
      <w:r w:rsidRPr="005C3B4F">
        <w:rPr>
          <w:rFonts w:asciiTheme="majorHAnsi" w:hAnsiTheme="majorHAnsi" w:cs="Arial"/>
          <w:noProof/>
          <w:color w:val="000000" w:themeColor="text1"/>
          <w:sz w:val="22"/>
          <w:szCs w:val="22"/>
        </w:rPr>
        <w:t>A handbook of s</w:t>
      </w:r>
      <w:r>
        <w:rPr>
          <w:rFonts w:asciiTheme="majorHAnsi" w:hAnsiTheme="majorHAnsi" w:cs="Arial"/>
          <w:noProof/>
          <w:color w:val="000000" w:themeColor="text1"/>
          <w:sz w:val="22"/>
          <w:szCs w:val="22"/>
        </w:rPr>
        <w:t>ocial science research, 2nd ed.</w:t>
      </w:r>
      <w:r w:rsidRPr="005C3B4F">
        <w:rPr>
          <w:rFonts w:asciiTheme="majorHAnsi" w:hAnsiTheme="majorHAnsi" w:cs="Arial"/>
          <w:noProof/>
          <w:color w:val="000000" w:themeColor="text1"/>
          <w:sz w:val="22"/>
          <w:szCs w:val="22"/>
        </w:rPr>
        <w:t xml:space="preserve"> Oxford: Oxford</w:t>
      </w:r>
      <w:r>
        <w:rPr>
          <w:rFonts w:asciiTheme="majorHAnsi" w:hAnsiTheme="majorHAnsi" w:cs="Arial"/>
          <w:noProof/>
          <w:color w:val="000000" w:themeColor="text1"/>
          <w:sz w:val="22"/>
          <w:szCs w:val="22"/>
        </w:rPr>
        <w:t xml:space="preserve"> </w:t>
      </w:r>
      <w:r w:rsidRPr="005C3B4F">
        <w:rPr>
          <w:rFonts w:asciiTheme="majorHAnsi" w:hAnsiTheme="majorHAnsi" w:cs="Arial"/>
          <w:noProof/>
          <w:color w:val="000000" w:themeColor="text1"/>
          <w:sz w:val="22"/>
          <w:szCs w:val="22"/>
        </w:rPr>
        <w:t>University Press</w:t>
      </w:r>
      <w:r>
        <w:rPr>
          <w:rFonts w:asciiTheme="majorHAnsi" w:hAnsiTheme="majorHAnsi" w:cs="Arial"/>
          <w:noProof/>
          <w:color w:val="000000" w:themeColor="text1"/>
          <w:sz w:val="22"/>
          <w:szCs w:val="22"/>
        </w:rPr>
        <w:t xml:space="preserve">. </w:t>
      </w:r>
    </w:p>
    <w:p w14:paraId="3DAC9FA7" w14:textId="3D7C6A4D" w:rsidR="005C3B4F" w:rsidRDefault="005C3B4F" w:rsidP="005C3B4F">
      <w:pPr>
        <w:spacing w:line="276" w:lineRule="auto"/>
        <w:ind w:left="1985"/>
        <w:rPr>
          <w:rFonts w:asciiTheme="majorHAnsi" w:hAnsiTheme="majorHAnsi" w:cs="Arial"/>
          <w:noProof/>
          <w:color w:val="000000" w:themeColor="text1"/>
          <w:sz w:val="22"/>
          <w:szCs w:val="22"/>
        </w:rPr>
      </w:pPr>
      <w:r w:rsidRPr="005C3B4F">
        <w:rPr>
          <w:rFonts w:asciiTheme="majorHAnsi" w:hAnsiTheme="majorHAnsi" w:cs="Arial"/>
          <w:noProof/>
          <w:color w:val="000000" w:themeColor="text1"/>
          <w:sz w:val="22"/>
          <w:szCs w:val="22"/>
        </w:rPr>
        <w:t>.</w:t>
      </w:r>
    </w:p>
    <w:p w14:paraId="6C7ACC0C" w14:textId="3DF2E4D1" w:rsidR="007D4F33" w:rsidRDefault="007D4F33" w:rsidP="00F51513">
      <w:pPr>
        <w:spacing w:line="276" w:lineRule="auto"/>
        <w:ind w:left="1985"/>
        <w:rPr>
          <w:rFonts w:asciiTheme="majorHAnsi" w:hAnsiTheme="majorHAnsi" w:cs="Arial"/>
          <w:noProof/>
          <w:color w:val="000000" w:themeColor="text1"/>
          <w:sz w:val="22"/>
          <w:szCs w:val="22"/>
        </w:rPr>
      </w:pPr>
      <w:r w:rsidRPr="007D4F33">
        <w:rPr>
          <w:rFonts w:asciiTheme="majorHAnsi" w:hAnsiTheme="majorHAnsi" w:cs="Arial"/>
          <w:noProof/>
          <w:color w:val="000000" w:themeColor="text1"/>
          <w:sz w:val="22"/>
          <w:szCs w:val="22"/>
        </w:rPr>
        <w:t>Boyatzis, R. E. (1998). Transforming qualitative information: Thematic analysis and code development. Sage.</w:t>
      </w:r>
    </w:p>
    <w:p w14:paraId="2A40F487" w14:textId="77777777" w:rsidR="007D4F33" w:rsidRDefault="007D4F33" w:rsidP="00F51513">
      <w:pPr>
        <w:spacing w:line="276" w:lineRule="auto"/>
        <w:ind w:left="1985"/>
        <w:rPr>
          <w:rFonts w:asciiTheme="majorHAnsi" w:hAnsiTheme="majorHAnsi" w:cs="Arial"/>
          <w:noProof/>
          <w:color w:val="000000" w:themeColor="text1"/>
          <w:sz w:val="22"/>
          <w:szCs w:val="22"/>
        </w:rPr>
      </w:pPr>
    </w:p>
    <w:p w14:paraId="1E8EC85E" w14:textId="66A9797E" w:rsidR="007D4F33" w:rsidRDefault="007D4F33" w:rsidP="00F51513">
      <w:pPr>
        <w:spacing w:line="276" w:lineRule="auto"/>
        <w:ind w:left="1985"/>
        <w:rPr>
          <w:rFonts w:asciiTheme="majorHAnsi" w:hAnsiTheme="majorHAnsi" w:cs="Arial"/>
          <w:noProof/>
          <w:color w:val="000000" w:themeColor="text1"/>
          <w:sz w:val="22"/>
          <w:szCs w:val="22"/>
        </w:rPr>
      </w:pPr>
      <w:r w:rsidRPr="007D4F33">
        <w:rPr>
          <w:rFonts w:asciiTheme="majorHAnsi" w:hAnsiTheme="majorHAnsi" w:cs="Arial"/>
          <w:noProof/>
          <w:color w:val="000000" w:themeColor="text1"/>
          <w:sz w:val="22"/>
          <w:szCs w:val="22"/>
        </w:rPr>
        <w:lastRenderedPageBreak/>
        <w:t>Braun, V., &amp; Clarke, V. (2006). Using thematic analysis in psychology.  Qualitative Research in Psychology, 3, 77-101.</w:t>
      </w:r>
    </w:p>
    <w:p w14:paraId="193CB84A" w14:textId="77777777" w:rsidR="00E3213C" w:rsidRDefault="00E3213C" w:rsidP="00F51513">
      <w:pPr>
        <w:spacing w:line="276" w:lineRule="auto"/>
        <w:ind w:left="1985"/>
        <w:rPr>
          <w:rFonts w:asciiTheme="majorHAnsi" w:hAnsiTheme="majorHAnsi" w:cs="Arial"/>
          <w:noProof/>
          <w:color w:val="000000" w:themeColor="text1"/>
          <w:sz w:val="22"/>
          <w:szCs w:val="22"/>
        </w:rPr>
      </w:pPr>
    </w:p>
    <w:p w14:paraId="4976A727" w14:textId="78B36C77" w:rsidR="00E3213C" w:rsidRDefault="00E3213C" w:rsidP="00F51513">
      <w:pPr>
        <w:spacing w:line="276" w:lineRule="auto"/>
        <w:ind w:left="1985"/>
        <w:rPr>
          <w:rFonts w:asciiTheme="majorHAnsi" w:hAnsiTheme="majorHAnsi" w:cs="Arial"/>
          <w:noProof/>
          <w:color w:val="000000" w:themeColor="text1"/>
          <w:sz w:val="22"/>
          <w:szCs w:val="22"/>
        </w:rPr>
      </w:pPr>
      <w:r w:rsidRPr="00E3213C">
        <w:rPr>
          <w:rFonts w:asciiTheme="majorHAnsi" w:hAnsiTheme="majorHAnsi" w:cs="Arial"/>
          <w:noProof/>
          <w:color w:val="000000" w:themeColor="text1"/>
          <w:sz w:val="22"/>
          <w:szCs w:val="22"/>
        </w:rPr>
        <w:t>Brewer</w:t>
      </w:r>
      <w:r>
        <w:rPr>
          <w:rFonts w:asciiTheme="majorHAnsi" w:hAnsiTheme="majorHAnsi" w:cs="Arial"/>
          <w:noProof/>
          <w:color w:val="000000" w:themeColor="text1"/>
          <w:sz w:val="22"/>
          <w:szCs w:val="22"/>
        </w:rPr>
        <w:t>, J., &amp;</w:t>
      </w:r>
      <w:r w:rsidRPr="00E3213C">
        <w:rPr>
          <w:rFonts w:asciiTheme="majorHAnsi" w:hAnsiTheme="majorHAnsi" w:cs="Arial"/>
          <w:noProof/>
          <w:color w:val="000000" w:themeColor="text1"/>
          <w:sz w:val="22"/>
          <w:szCs w:val="22"/>
        </w:rPr>
        <w:t xml:space="preserve"> Hunter, </w:t>
      </w:r>
      <w:r>
        <w:rPr>
          <w:rFonts w:asciiTheme="majorHAnsi" w:hAnsiTheme="majorHAnsi" w:cs="Arial"/>
          <w:noProof/>
          <w:color w:val="000000" w:themeColor="text1"/>
          <w:sz w:val="22"/>
          <w:szCs w:val="22"/>
        </w:rPr>
        <w:t>A. (1989). Multimethod research: A synthesis of styles.</w:t>
      </w:r>
      <w:r w:rsidRPr="00E3213C">
        <w:rPr>
          <w:rFonts w:asciiTheme="majorHAnsi" w:hAnsiTheme="majorHAnsi" w:cs="Arial"/>
          <w:noProof/>
          <w:color w:val="000000" w:themeColor="text1"/>
          <w:sz w:val="22"/>
          <w:szCs w:val="22"/>
        </w:rPr>
        <w:t xml:space="preserve"> Newbury Park: Sage Library of Social Research Series, Vol. 175.</w:t>
      </w:r>
    </w:p>
    <w:p w14:paraId="0EA6B6B9" w14:textId="77777777" w:rsidR="007D4F33" w:rsidRDefault="007D4F33" w:rsidP="00F51513">
      <w:pPr>
        <w:spacing w:line="276" w:lineRule="auto"/>
        <w:ind w:left="1985"/>
        <w:rPr>
          <w:rFonts w:asciiTheme="majorHAnsi" w:hAnsiTheme="majorHAnsi" w:cs="Arial"/>
          <w:noProof/>
          <w:color w:val="000000" w:themeColor="text1"/>
          <w:sz w:val="22"/>
          <w:szCs w:val="22"/>
        </w:rPr>
      </w:pPr>
    </w:p>
    <w:p w14:paraId="1F74628D" w14:textId="4EF57AE9" w:rsidR="007D4F33" w:rsidRDefault="007D4F33" w:rsidP="00F51513">
      <w:pPr>
        <w:spacing w:line="276" w:lineRule="auto"/>
        <w:ind w:left="1985"/>
        <w:rPr>
          <w:rFonts w:asciiTheme="majorHAnsi" w:hAnsiTheme="majorHAnsi" w:cs="Arial"/>
          <w:noProof/>
          <w:color w:val="000000" w:themeColor="text1"/>
          <w:sz w:val="22"/>
          <w:szCs w:val="22"/>
        </w:rPr>
      </w:pPr>
      <w:r w:rsidRPr="007D4F33">
        <w:rPr>
          <w:rFonts w:asciiTheme="majorHAnsi" w:hAnsiTheme="majorHAnsi" w:cs="Arial"/>
          <w:noProof/>
          <w:color w:val="000000" w:themeColor="text1"/>
          <w:sz w:val="22"/>
          <w:szCs w:val="22"/>
        </w:rPr>
        <w:t>Creswell, J. W. (2011). Research Design (3rd [South East Asian Ed.] ed.). New Delhi: Sage.</w:t>
      </w:r>
    </w:p>
    <w:p w14:paraId="3A79259F" w14:textId="77777777" w:rsidR="007D4F33" w:rsidRDefault="007D4F33" w:rsidP="00F51513">
      <w:pPr>
        <w:spacing w:line="276" w:lineRule="auto"/>
        <w:ind w:left="1985"/>
        <w:rPr>
          <w:rFonts w:asciiTheme="majorHAnsi" w:hAnsiTheme="majorHAnsi" w:cs="Arial"/>
          <w:noProof/>
          <w:color w:val="000000" w:themeColor="text1"/>
          <w:sz w:val="22"/>
          <w:szCs w:val="22"/>
        </w:rPr>
      </w:pPr>
    </w:p>
    <w:p w14:paraId="4EEB08A1" w14:textId="1B76DF25" w:rsidR="00F51513" w:rsidRDefault="00F51513" w:rsidP="00F51513">
      <w:pPr>
        <w:spacing w:line="276" w:lineRule="auto"/>
        <w:ind w:left="1985"/>
        <w:rPr>
          <w:rFonts w:asciiTheme="majorHAnsi" w:hAnsiTheme="majorHAnsi" w:cs="Arial"/>
          <w:noProof/>
          <w:color w:val="000000" w:themeColor="text1"/>
          <w:sz w:val="22"/>
          <w:szCs w:val="22"/>
        </w:rPr>
      </w:pPr>
      <w:r w:rsidRPr="00F51513">
        <w:rPr>
          <w:rFonts w:asciiTheme="majorHAnsi" w:hAnsiTheme="majorHAnsi" w:cs="Arial"/>
          <w:noProof/>
          <w:color w:val="000000" w:themeColor="text1"/>
          <w:sz w:val="22"/>
          <w:szCs w:val="22"/>
        </w:rPr>
        <w:t>Fusch</w:t>
      </w:r>
      <w:r>
        <w:rPr>
          <w:rFonts w:asciiTheme="majorHAnsi" w:hAnsiTheme="majorHAnsi" w:cs="Arial"/>
          <w:noProof/>
          <w:color w:val="000000" w:themeColor="text1"/>
          <w:sz w:val="22"/>
          <w:szCs w:val="22"/>
        </w:rPr>
        <w:t xml:space="preserve">, P. I., &amp; </w:t>
      </w:r>
      <w:r w:rsidRPr="00F51513">
        <w:rPr>
          <w:rFonts w:asciiTheme="majorHAnsi" w:hAnsiTheme="majorHAnsi" w:cs="Arial"/>
          <w:noProof/>
          <w:color w:val="000000" w:themeColor="text1"/>
          <w:sz w:val="22"/>
          <w:szCs w:val="22"/>
        </w:rPr>
        <w:t>Ness</w:t>
      </w:r>
      <w:r>
        <w:rPr>
          <w:rFonts w:asciiTheme="majorHAnsi" w:hAnsiTheme="majorHAnsi" w:cs="Arial"/>
          <w:noProof/>
          <w:color w:val="000000" w:themeColor="text1"/>
          <w:sz w:val="22"/>
          <w:szCs w:val="22"/>
        </w:rPr>
        <w:t xml:space="preserve">, L. R. (2015).  </w:t>
      </w:r>
      <w:r w:rsidRPr="00F51513">
        <w:rPr>
          <w:rFonts w:asciiTheme="majorHAnsi" w:hAnsiTheme="majorHAnsi" w:cs="Arial"/>
          <w:noProof/>
          <w:color w:val="000000" w:themeColor="text1"/>
          <w:sz w:val="22"/>
          <w:szCs w:val="22"/>
        </w:rPr>
        <w:t xml:space="preserve">Are </w:t>
      </w:r>
      <w:r>
        <w:rPr>
          <w:rFonts w:asciiTheme="majorHAnsi" w:hAnsiTheme="majorHAnsi" w:cs="Arial"/>
          <w:noProof/>
          <w:color w:val="000000" w:themeColor="text1"/>
          <w:sz w:val="22"/>
          <w:szCs w:val="22"/>
        </w:rPr>
        <w:t>we there yet? D</w:t>
      </w:r>
      <w:r w:rsidRPr="00F51513">
        <w:rPr>
          <w:rFonts w:asciiTheme="majorHAnsi" w:hAnsiTheme="majorHAnsi" w:cs="Arial"/>
          <w:noProof/>
          <w:color w:val="000000" w:themeColor="text1"/>
          <w:sz w:val="22"/>
          <w:szCs w:val="22"/>
        </w:rPr>
        <w:t>ata saturation in qualitative research</w:t>
      </w:r>
      <w:r>
        <w:rPr>
          <w:rFonts w:asciiTheme="majorHAnsi" w:hAnsiTheme="majorHAnsi" w:cs="Arial"/>
          <w:noProof/>
          <w:color w:val="000000" w:themeColor="text1"/>
          <w:sz w:val="22"/>
          <w:szCs w:val="22"/>
        </w:rPr>
        <w:t xml:space="preserve">.  Qualitative Report, 20(9), </w:t>
      </w:r>
      <w:r w:rsidRPr="00F51513">
        <w:rPr>
          <w:rFonts w:asciiTheme="majorHAnsi" w:hAnsiTheme="majorHAnsi" w:cs="Arial"/>
          <w:noProof/>
          <w:color w:val="000000" w:themeColor="text1"/>
          <w:sz w:val="22"/>
          <w:szCs w:val="22"/>
        </w:rPr>
        <w:t>1408-1416</w:t>
      </w:r>
      <w:r>
        <w:rPr>
          <w:rFonts w:asciiTheme="majorHAnsi" w:hAnsiTheme="majorHAnsi" w:cs="Arial"/>
          <w:noProof/>
          <w:color w:val="000000" w:themeColor="text1"/>
          <w:sz w:val="22"/>
          <w:szCs w:val="22"/>
        </w:rPr>
        <w:t>.</w:t>
      </w:r>
    </w:p>
    <w:p w14:paraId="60221BE5" w14:textId="77777777" w:rsidR="001273C8" w:rsidRDefault="001273C8" w:rsidP="00F51513">
      <w:pPr>
        <w:spacing w:line="276" w:lineRule="auto"/>
        <w:ind w:left="1985"/>
        <w:rPr>
          <w:rFonts w:asciiTheme="majorHAnsi" w:hAnsiTheme="majorHAnsi" w:cs="Arial"/>
          <w:noProof/>
          <w:color w:val="000000" w:themeColor="text1"/>
          <w:sz w:val="22"/>
          <w:szCs w:val="22"/>
        </w:rPr>
      </w:pPr>
    </w:p>
    <w:p w14:paraId="4D025646" w14:textId="0452B24D" w:rsidR="00A91406" w:rsidRDefault="00A91406" w:rsidP="00F51513">
      <w:pPr>
        <w:spacing w:line="276" w:lineRule="auto"/>
        <w:ind w:left="1985"/>
        <w:rPr>
          <w:rFonts w:asciiTheme="majorHAnsi" w:hAnsiTheme="majorHAnsi" w:cs="Arial"/>
          <w:noProof/>
          <w:color w:val="000000" w:themeColor="text1"/>
          <w:sz w:val="22"/>
          <w:szCs w:val="22"/>
        </w:rPr>
      </w:pPr>
      <w:r w:rsidRPr="00A91406">
        <w:rPr>
          <w:rFonts w:asciiTheme="majorHAnsi" w:hAnsiTheme="majorHAnsi" w:cs="Arial"/>
          <w:noProof/>
          <w:color w:val="000000" w:themeColor="text1"/>
          <w:sz w:val="22"/>
          <w:szCs w:val="22"/>
        </w:rPr>
        <w:t>Giorgi, A. (2009).  The descriptive phenomenological method in psychology: A modified Husserlian approach.  Pittsburgh, Pennsylvania: Duquesne University Press.</w:t>
      </w:r>
    </w:p>
    <w:p w14:paraId="738ED7EF" w14:textId="77777777" w:rsidR="00A91406" w:rsidRDefault="00A91406" w:rsidP="00F51513">
      <w:pPr>
        <w:spacing w:line="276" w:lineRule="auto"/>
        <w:ind w:left="1985"/>
        <w:rPr>
          <w:rFonts w:asciiTheme="majorHAnsi" w:hAnsiTheme="majorHAnsi" w:cs="Arial"/>
          <w:noProof/>
          <w:color w:val="000000" w:themeColor="text1"/>
          <w:sz w:val="22"/>
          <w:szCs w:val="22"/>
        </w:rPr>
      </w:pPr>
    </w:p>
    <w:p w14:paraId="17951C0D" w14:textId="12869BE0" w:rsidR="001273C8" w:rsidRDefault="001273C8" w:rsidP="00F51513">
      <w:pPr>
        <w:spacing w:line="276" w:lineRule="auto"/>
        <w:ind w:left="1985"/>
        <w:rPr>
          <w:rFonts w:asciiTheme="majorHAnsi" w:hAnsiTheme="majorHAnsi" w:cs="Arial"/>
          <w:noProof/>
          <w:color w:val="000000" w:themeColor="text1"/>
          <w:sz w:val="22"/>
          <w:szCs w:val="22"/>
        </w:rPr>
      </w:pPr>
      <w:r w:rsidRPr="001273C8">
        <w:rPr>
          <w:rFonts w:asciiTheme="majorHAnsi" w:hAnsiTheme="majorHAnsi" w:cs="Arial"/>
          <w:noProof/>
          <w:color w:val="000000" w:themeColor="text1"/>
          <w:sz w:val="22"/>
          <w:szCs w:val="22"/>
        </w:rPr>
        <w:t>Hoepfl, M.C. (1997). Choosing qualitative research: a primer for technology education researchers. Journal of Technology Education, 9, (1).</w:t>
      </w:r>
    </w:p>
    <w:p w14:paraId="049611BB" w14:textId="77777777" w:rsidR="001273C8" w:rsidRDefault="001273C8" w:rsidP="00F51513">
      <w:pPr>
        <w:spacing w:line="276" w:lineRule="auto"/>
        <w:ind w:left="1985"/>
        <w:rPr>
          <w:rFonts w:asciiTheme="majorHAnsi" w:hAnsiTheme="majorHAnsi" w:cs="Arial"/>
          <w:noProof/>
          <w:color w:val="000000" w:themeColor="text1"/>
          <w:sz w:val="22"/>
          <w:szCs w:val="22"/>
        </w:rPr>
      </w:pPr>
    </w:p>
    <w:p w14:paraId="0C32E2E4" w14:textId="64E92AF6" w:rsidR="001273C8" w:rsidRDefault="001273C8" w:rsidP="00F51513">
      <w:pPr>
        <w:spacing w:line="276" w:lineRule="auto"/>
        <w:ind w:left="1985"/>
        <w:rPr>
          <w:rFonts w:asciiTheme="majorHAnsi" w:hAnsiTheme="majorHAnsi" w:cs="Arial"/>
          <w:noProof/>
          <w:color w:val="000000" w:themeColor="text1"/>
          <w:sz w:val="22"/>
          <w:szCs w:val="22"/>
        </w:rPr>
      </w:pPr>
      <w:r w:rsidRPr="001273C8">
        <w:rPr>
          <w:rFonts w:asciiTheme="majorHAnsi" w:hAnsiTheme="majorHAnsi" w:cs="Arial"/>
          <w:noProof/>
          <w:color w:val="000000" w:themeColor="text1"/>
          <w:sz w:val="22"/>
          <w:szCs w:val="22"/>
        </w:rPr>
        <w:t>Koch, T. (2006). Establishing rigour in Qualitative Research: the decision trail. Journal of Advanced Nursing. 53, (1), 91-103.</w:t>
      </w:r>
    </w:p>
    <w:p w14:paraId="176D083B" w14:textId="77777777" w:rsidR="00635DFF" w:rsidRDefault="00635DFF" w:rsidP="00F51513">
      <w:pPr>
        <w:spacing w:line="276" w:lineRule="auto"/>
        <w:ind w:left="1985"/>
        <w:rPr>
          <w:rFonts w:asciiTheme="majorHAnsi" w:hAnsiTheme="majorHAnsi" w:cs="Arial"/>
          <w:noProof/>
          <w:color w:val="000000" w:themeColor="text1"/>
          <w:sz w:val="22"/>
          <w:szCs w:val="22"/>
        </w:rPr>
      </w:pPr>
    </w:p>
    <w:p w14:paraId="70D443B5" w14:textId="77777777" w:rsidR="00F72319" w:rsidRPr="00F72319" w:rsidRDefault="00F72319" w:rsidP="00F72319">
      <w:pPr>
        <w:spacing w:line="276" w:lineRule="auto"/>
        <w:ind w:left="1985"/>
        <w:rPr>
          <w:rFonts w:asciiTheme="majorHAnsi" w:hAnsiTheme="majorHAnsi" w:cs="Arial"/>
          <w:noProof/>
          <w:color w:val="000000" w:themeColor="text1"/>
          <w:sz w:val="22"/>
          <w:szCs w:val="22"/>
        </w:rPr>
      </w:pPr>
      <w:r w:rsidRPr="00F72319">
        <w:rPr>
          <w:rFonts w:asciiTheme="majorHAnsi" w:hAnsiTheme="majorHAnsi" w:cs="Arial"/>
          <w:noProof/>
          <w:color w:val="000000" w:themeColor="text1"/>
          <w:sz w:val="22"/>
          <w:szCs w:val="22"/>
        </w:rPr>
        <w:t>Lincoln, Y.S. (1995). Emerging criteria for quality in qualitative and interpretive</w:t>
      </w:r>
    </w:p>
    <w:p w14:paraId="1A08EE42" w14:textId="1A367828" w:rsidR="00F72319" w:rsidRDefault="00F72319" w:rsidP="00F72319">
      <w:pPr>
        <w:spacing w:line="276" w:lineRule="auto"/>
        <w:ind w:left="1985"/>
        <w:rPr>
          <w:rFonts w:asciiTheme="majorHAnsi" w:hAnsiTheme="majorHAnsi" w:cs="Arial"/>
          <w:noProof/>
          <w:color w:val="000000" w:themeColor="text1"/>
          <w:sz w:val="22"/>
          <w:szCs w:val="22"/>
        </w:rPr>
      </w:pPr>
      <w:r w:rsidRPr="00F72319">
        <w:rPr>
          <w:rFonts w:asciiTheme="majorHAnsi" w:hAnsiTheme="majorHAnsi" w:cs="Arial"/>
          <w:noProof/>
          <w:color w:val="000000" w:themeColor="text1"/>
          <w:sz w:val="22"/>
          <w:szCs w:val="22"/>
        </w:rPr>
        <w:t>research. Qualitative Inquiry, 1, 275–289.</w:t>
      </w:r>
    </w:p>
    <w:p w14:paraId="36AC64AF" w14:textId="77777777" w:rsidR="00F72319" w:rsidRDefault="00F72319" w:rsidP="00F72319">
      <w:pPr>
        <w:spacing w:line="276" w:lineRule="auto"/>
        <w:ind w:left="1985"/>
        <w:rPr>
          <w:rFonts w:asciiTheme="majorHAnsi" w:hAnsiTheme="majorHAnsi" w:cs="Arial"/>
          <w:noProof/>
          <w:color w:val="000000" w:themeColor="text1"/>
          <w:sz w:val="22"/>
          <w:szCs w:val="22"/>
        </w:rPr>
      </w:pPr>
    </w:p>
    <w:p w14:paraId="4CE18F75" w14:textId="2B7C9E5E" w:rsidR="00635DFF" w:rsidRDefault="00635DFF" w:rsidP="00F51513">
      <w:pPr>
        <w:spacing w:line="276" w:lineRule="auto"/>
        <w:ind w:left="1985"/>
        <w:rPr>
          <w:rFonts w:asciiTheme="majorHAnsi" w:hAnsiTheme="majorHAnsi" w:cs="Arial"/>
          <w:noProof/>
          <w:color w:val="000000" w:themeColor="text1"/>
          <w:sz w:val="22"/>
          <w:szCs w:val="22"/>
        </w:rPr>
      </w:pPr>
      <w:r w:rsidRPr="00635DFF">
        <w:rPr>
          <w:rFonts w:asciiTheme="majorHAnsi" w:hAnsiTheme="majorHAnsi" w:cs="Arial"/>
          <w:noProof/>
          <w:color w:val="000000" w:themeColor="text1"/>
          <w:sz w:val="22"/>
          <w:szCs w:val="22"/>
        </w:rPr>
        <w:t>Lincoln, Y.S. and Guba, E.G. (1985). Naturalistic Inquiry. Sage Publications, Newbury Park.</w:t>
      </w:r>
    </w:p>
    <w:p w14:paraId="7298511F" w14:textId="77777777" w:rsidR="00F13BD1" w:rsidRDefault="00F13BD1" w:rsidP="00F51513">
      <w:pPr>
        <w:spacing w:line="276" w:lineRule="auto"/>
        <w:ind w:left="1985"/>
        <w:rPr>
          <w:rFonts w:asciiTheme="majorHAnsi" w:hAnsiTheme="majorHAnsi" w:cs="Arial"/>
          <w:noProof/>
          <w:color w:val="000000" w:themeColor="text1"/>
          <w:sz w:val="22"/>
          <w:szCs w:val="22"/>
        </w:rPr>
      </w:pPr>
    </w:p>
    <w:p w14:paraId="586D0D98" w14:textId="18FD0687" w:rsidR="00F13BD1" w:rsidRPr="00F51513" w:rsidRDefault="00F13BD1" w:rsidP="00F51513">
      <w:pPr>
        <w:spacing w:line="276" w:lineRule="auto"/>
        <w:ind w:left="1985"/>
        <w:rPr>
          <w:rFonts w:asciiTheme="majorHAnsi" w:hAnsiTheme="majorHAnsi" w:cs="Arial"/>
          <w:noProof/>
          <w:color w:val="000000" w:themeColor="text1"/>
          <w:sz w:val="22"/>
          <w:szCs w:val="22"/>
        </w:rPr>
      </w:pPr>
      <w:r w:rsidRPr="00F13BD1">
        <w:rPr>
          <w:rFonts w:asciiTheme="majorHAnsi" w:hAnsiTheme="majorHAnsi" w:cs="Arial"/>
          <w:noProof/>
          <w:color w:val="000000" w:themeColor="text1"/>
          <w:sz w:val="22"/>
          <w:szCs w:val="22"/>
        </w:rPr>
        <w:t>Merriman, S. B. (2009).  Qualitative research: A guide to design and implementation. San Francisco: Jossey-Bass.</w:t>
      </w:r>
    </w:p>
    <w:p w14:paraId="17FB6DBF" w14:textId="352270D5" w:rsidR="00F51513" w:rsidRDefault="00F51513" w:rsidP="00F51513">
      <w:pPr>
        <w:spacing w:line="276" w:lineRule="auto"/>
        <w:ind w:left="1985"/>
        <w:rPr>
          <w:rFonts w:asciiTheme="majorHAnsi" w:hAnsiTheme="majorHAnsi" w:cs="Arial"/>
          <w:noProof/>
          <w:color w:val="000000" w:themeColor="text1"/>
          <w:sz w:val="22"/>
          <w:szCs w:val="22"/>
        </w:rPr>
      </w:pPr>
    </w:p>
    <w:p w14:paraId="1C1990F6" w14:textId="204E1640" w:rsidR="00F42640" w:rsidRDefault="00F42640" w:rsidP="00F42640">
      <w:pPr>
        <w:spacing w:line="276" w:lineRule="auto"/>
        <w:ind w:left="1985"/>
        <w:rPr>
          <w:rFonts w:asciiTheme="majorHAnsi" w:hAnsiTheme="majorHAnsi" w:cs="Arial"/>
          <w:noProof/>
          <w:color w:val="000000" w:themeColor="text1"/>
          <w:sz w:val="22"/>
          <w:szCs w:val="22"/>
        </w:rPr>
      </w:pPr>
      <w:r w:rsidRPr="00F42640">
        <w:rPr>
          <w:rFonts w:asciiTheme="majorHAnsi" w:hAnsiTheme="majorHAnsi" w:cs="Arial"/>
          <w:noProof/>
          <w:color w:val="000000" w:themeColor="text1"/>
          <w:sz w:val="22"/>
          <w:szCs w:val="22"/>
        </w:rPr>
        <w:t>Miles</w:t>
      </w:r>
      <w:r>
        <w:rPr>
          <w:rFonts w:asciiTheme="majorHAnsi" w:hAnsiTheme="majorHAnsi" w:cs="Arial"/>
          <w:noProof/>
          <w:color w:val="000000" w:themeColor="text1"/>
          <w:sz w:val="22"/>
          <w:szCs w:val="22"/>
        </w:rPr>
        <w:t>, M.B., &amp;</w:t>
      </w:r>
      <w:r w:rsidRPr="00F42640">
        <w:rPr>
          <w:rFonts w:asciiTheme="majorHAnsi" w:hAnsiTheme="majorHAnsi" w:cs="Arial"/>
          <w:noProof/>
          <w:color w:val="000000" w:themeColor="text1"/>
          <w:sz w:val="22"/>
          <w:szCs w:val="22"/>
        </w:rPr>
        <w:t xml:space="preserve"> Huberman,</w:t>
      </w:r>
      <w:r>
        <w:rPr>
          <w:rFonts w:asciiTheme="majorHAnsi" w:hAnsiTheme="majorHAnsi" w:cs="Arial"/>
          <w:noProof/>
          <w:color w:val="000000" w:themeColor="text1"/>
          <w:sz w:val="22"/>
          <w:szCs w:val="22"/>
        </w:rPr>
        <w:t xml:space="preserve"> </w:t>
      </w:r>
      <w:r w:rsidRPr="00F42640">
        <w:rPr>
          <w:rFonts w:asciiTheme="majorHAnsi" w:hAnsiTheme="majorHAnsi" w:cs="Arial"/>
          <w:noProof/>
          <w:color w:val="000000" w:themeColor="text1"/>
          <w:sz w:val="22"/>
          <w:szCs w:val="22"/>
        </w:rPr>
        <w:t xml:space="preserve">A.M. </w:t>
      </w:r>
      <w:r>
        <w:rPr>
          <w:rFonts w:asciiTheme="majorHAnsi" w:hAnsiTheme="majorHAnsi" w:cs="Arial"/>
          <w:noProof/>
          <w:color w:val="000000" w:themeColor="text1"/>
          <w:sz w:val="22"/>
          <w:szCs w:val="22"/>
        </w:rPr>
        <w:t>(1994). Qualitative data analysis: A</w:t>
      </w:r>
      <w:r w:rsidRPr="00F42640">
        <w:rPr>
          <w:rFonts w:asciiTheme="majorHAnsi" w:hAnsiTheme="majorHAnsi" w:cs="Arial"/>
          <w:noProof/>
          <w:color w:val="000000" w:themeColor="text1"/>
          <w:sz w:val="22"/>
          <w:szCs w:val="22"/>
        </w:rPr>
        <w:t>n expanded sourcebook, 2nd ed.</w:t>
      </w:r>
      <w:r>
        <w:rPr>
          <w:rFonts w:asciiTheme="majorHAnsi" w:hAnsiTheme="majorHAnsi" w:cs="Arial"/>
          <w:noProof/>
          <w:color w:val="000000" w:themeColor="text1"/>
          <w:sz w:val="22"/>
          <w:szCs w:val="22"/>
        </w:rPr>
        <w:t xml:space="preserve">  California: Sage.</w:t>
      </w:r>
    </w:p>
    <w:p w14:paraId="0141F3BE" w14:textId="77777777" w:rsidR="00F42640" w:rsidRDefault="00F42640" w:rsidP="00F42640">
      <w:pPr>
        <w:spacing w:line="276" w:lineRule="auto"/>
        <w:ind w:left="1985"/>
        <w:rPr>
          <w:rFonts w:asciiTheme="majorHAnsi" w:hAnsiTheme="majorHAnsi" w:cs="Arial"/>
          <w:noProof/>
          <w:color w:val="000000" w:themeColor="text1"/>
          <w:sz w:val="22"/>
          <w:szCs w:val="22"/>
        </w:rPr>
      </w:pPr>
    </w:p>
    <w:p w14:paraId="023ED357" w14:textId="19BA710B" w:rsidR="00461796" w:rsidRDefault="00461796" w:rsidP="00F42640">
      <w:pPr>
        <w:spacing w:line="276" w:lineRule="auto"/>
        <w:ind w:left="1985"/>
        <w:rPr>
          <w:rFonts w:asciiTheme="majorHAnsi" w:hAnsiTheme="majorHAnsi" w:cs="Arial"/>
          <w:noProof/>
          <w:color w:val="000000" w:themeColor="text1"/>
          <w:sz w:val="22"/>
          <w:szCs w:val="22"/>
        </w:rPr>
      </w:pPr>
      <w:r w:rsidRPr="00461796">
        <w:rPr>
          <w:rFonts w:asciiTheme="majorHAnsi" w:hAnsiTheme="majorHAnsi" w:cs="Arial"/>
          <w:noProof/>
          <w:color w:val="000000" w:themeColor="text1"/>
          <w:sz w:val="22"/>
          <w:szCs w:val="22"/>
        </w:rPr>
        <w:t>Moustakas, C. (1994). Phenomenological research methods. Thousand Oaks: Sage Publications.</w:t>
      </w:r>
    </w:p>
    <w:p w14:paraId="208F7622" w14:textId="3AB3C69A" w:rsidR="00774BBC" w:rsidRDefault="00774BBC" w:rsidP="00F42640">
      <w:pPr>
        <w:spacing w:line="276" w:lineRule="auto"/>
        <w:ind w:left="1985"/>
        <w:rPr>
          <w:rFonts w:asciiTheme="majorHAnsi" w:hAnsiTheme="majorHAnsi" w:cs="Arial"/>
          <w:noProof/>
          <w:color w:val="000000" w:themeColor="text1"/>
          <w:sz w:val="22"/>
          <w:szCs w:val="22"/>
        </w:rPr>
      </w:pPr>
    </w:p>
    <w:p w14:paraId="1DD6CA07" w14:textId="30EF500C" w:rsidR="00774BBC" w:rsidRDefault="00774BBC" w:rsidP="00F42640">
      <w:pPr>
        <w:spacing w:line="276" w:lineRule="auto"/>
        <w:ind w:left="1985"/>
        <w:rPr>
          <w:rFonts w:asciiTheme="majorHAnsi" w:hAnsiTheme="majorHAnsi" w:cs="Arial"/>
          <w:noProof/>
          <w:color w:val="000000" w:themeColor="text1"/>
          <w:sz w:val="22"/>
          <w:szCs w:val="22"/>
        </w:rPr>
      </w:pPr>
      <w:r w:rsidRPr="00774BBC">
        <w:rPr>
          <w:rFonts w:asciiTheme="majorHAnsi" w:hAnsiTheme="majorHAnsi" w:cs="Arial"/>
          <w:noProof/>
          <w:color w:val="000000" w:themeColor="text1"/>
          <w:sz w:val="22"/>
          <w:szCs w:val="22"/>
        </w:rPr>
        <w:t>Rolls, L., &amp; Relf, M. (2006). Bracketing interviews: Addressing methodological challenges in qualitative interviewing in bereavement and palliative care. Mortality, 11(3), 286-305.</w:t>
      </w:r>
    </w:p>
    <w:p w14:paraId="0BD5CB80" w14:textId="77777777" w:rsidR="00461796" w:rsidRDefault="00461796" w:rsidP="00F42640">
      <w:pPr>
        <w:spacing w:line="276" w:lineRule="auto"/>
        <w:ind w:left="1985"/>
        <w:rPr>
          <w:rFonts w:asciiTheme="majorHAnsi" w:hAnsiTheme="majorHAnsi" w:cs="Arial"/>
          <w:noProof/>
          <w:color w:val="000000" w:themeColor="text1"/>
          <w:sz w:val="22"/>
          <w:szCs w:val="22"/>
        </w:rPr>
      </w:pPr>
    </w:p>
    <w:p w14:paraId="582DBC0B" w14:textId="77777777" w:rsidR="007D4F33" w:rsidRDefault="007D4F33" w:rsidP="00F51513">
      <w:pPr>
        <w:spacing w:line="276" w:lineRule="auto"/>
        <w:ind w:left="1985"/>
        <w:rPr>
          <w:rFonts w:asciiTheme="majorHAnsi" w:hAnsiTheme="majorHAnsi" w:cs="Arial"/>
          <w:noProof/>
          <w:color w:val="000000" w:themeColor="text1"/>
          <w:sz w:val="22"/>
          <w:szCs w:val="22"/>
        </w:rPr>
      </w:pPr>
      <w:r w:rsidRPr="007D4F33">
        <w:rPr>
          <w:rFonts w:asciiTheme="majorHAnsi" w:hAnsiTheme="majorHAnsi" w:cs="Arial"/>
          <w:noProof/>
          <w:color w:val="000000" w:themeColor="text1"/>
          <w:sz w:val="22"/>
          <w:szCs w:val="22"/>
        </w:rPr>
        <w:lastRenderedPageBreak/>
        <w:t xml:space="preserve">Roulston, K. (2001). Data analysis and 'theorizing as ideology'. Qualitative Research, 1, 279-302. </w:t>
      </w:r>
    </w:p>
    <w:p w14:paraId="1CE9AD4F" w14:textId="77777777" w:rsidR="00AD523D" w:rsidRDefault="00AD523D" w:rsidP="00F51513">
      <w:pPr>
        <w:spacing w:line="276" w:lineRule="auto"/>
        <w:ind w:left="1985"/>
        <w:rPr>
          <w:rFonts w:asciiTheme="majorHAnsi" w:hAnsiTheme="majorHAnsi" w:cs="Arial"/>
          <w:noProof/>
          <w:color w:val="000000" w:themeColor="text1"/>
          <w:sz w:val="22"/>
          <w:szCs w:val="22"/>
        </w:rPr>
      </w:pPr>
    </w:p>
    <w:p w14:paraId="287871A7" w14:textId="5B1D93A5" w:rsidR="00AD523D" w:rsidRDefault="00AD523D" w:rsidP="00AD523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Shenton, A. K. (2004).</w:t>
      </w:r>
      <w:r w:rsidRPr="00AD523D">
        <w:rPr>
          <w:rFonts w:asciiTheme="majorHAnsi" w:hAnsiTheme="majorHAnsi" w:cs="Arial"/>
          <w:noProof/>
          <w:color w:val="000000" w:themeColor="text1"/>
          <w:sz w:val="22"/>
          <w:szCs w:val="22"/>
        </w:rPr>
        <w:t xml:space="preserve"> Strategies for ensuring trustworthiness in qualitative research projects</w:t>
      </w:r>
      <w:r>
        <w:rPr>
          <w:rFonts w:asciiTheme="majorHAnsi" w:hAnsiTheme="majorHAnsi" w:cs="Arial"/>
          <w:noProof/>
          <w:color w:val="000000" w:themeColor="text1"/>
          <w:sz w:val="22"/>
          <w:szCs w:val="22"/>
        </w:rPr>
        <w:t xml:space="preserve">.  </w:t>
      </w:r>
      <w:r w:rsidRPr="00AD523D">
        <w:rPr>
          <w:rFonts w:asciiTheme="majorHAnsi" w:hAnsiTheme="majorHAnsi" w:cs="Arial"/>
          <w:noProof/>
          <w:color w:val="000000" w:themeColor="text1"/>
          <w:sz w:val="22"/>
          <w:szCs w:val="22"/>
        </w:rPr>
        <w:t>Education for Information</w:t>
      </w:r>
      <w:r>
        <w:rPr>
          <w:rFonts w:asciiTheme="majorHAnsi" w:hAnsiTheme="majorHAnsi" w:cs="Arial"/>
          <w:noProof/>
          <w:color w:val="000000" w:themeColor="text1"/>
          <w:sz w:val="22"/>
          <w:szCs w:val="22"/>
        </w:rPr>
        <w:t>, 22, 63-75 63.</w:t>
      </w:r>
    </w:p>
    <w:p w14:paraId="0886FDB9" w14:textId="77777777" w:rsidR="00BA56C3" w:rsidRDefault="00BA56C3" w:rsidP="00AD523D">
      <w:pPr>
        <w:spacing w:line="276" w:lineRule="auto"/>
        <w:ind w:left="1985"/>
        <w:rPr>
          <w:rFonts w:asciiTheme="majorHAnsi" w:hAnsiTheme="majorHAnsi" w:cs="Arial"/>
          <w:noProof/>
          <w:color w:val="000000" w:themeColor="text1"/>
          <w:sz w:val="22"/>
          <w:szCs w:val="22"/>
        </w:rPr>
      </w:pPr>
    </w:p>
    <w:p w14:paraId="3DC06532" w14:textId="5CF55F9A" w:rsidR="00BA56C3" w:rsidRPr="00AD523D" w:rsidRDefault="00BA56C3" w:rsidP="00AD523D">
      <w:pPr>
        <w:spacing w:line="276" w:lineRule="auto"/>
        <w:ind w:left="1985"/>
        <w:rPr>
          <w:rFonts w:asciiTheme="majorHAnsi" w:hAnsiTheme="majorHAnsi" w:cs="Arial"/>
          <w:noProof/>
          <w:color w:val="000000" w:themeColor="text1"/>
          <w:sz w:val="22"/>
          <w:szCs w:val="22"/>
        </w:rPr>
      </w:pPr>
      <w:r w:rsidRPr="00BA56C3">
        <w:rPr>
          <w:rFonts w:asciiTheme="majorHAnsi" w:hAnsiTheme="majorHAnsi" w:cs="Arial"/>
          <w:noProof/>
          <w:color w:val="000000" w:themeColor="text1"/>
          <w:sz w:val="22"/>
          <w:szCs w:val="22"/>
        </w:rPr>
        <w:t xml:space="preserve">Silverman, </w:t>
      </w:r>
      <w:r>
        <w:rPr>
          <w:rFonts w:asciiTheme="majorHAnsi" w:hAnsiTheme="majorHAnsi" w:cs="Arial"/>
          <w:noProof/>
          <w:color w:val="000000" w:themeColor="text1"/>
          <w:sz w:val="22"/>
          <w:szCs w:val="22"/>
        </w:rPr>
        <w:t>D. (2000).  Doing qualitative research: A</w:t>
      </w:r>
      <w:r w:rsidRPr="00BA56C3">
        <w:rPr>
          <w:rFonts w:asciiTheme="majorHAnsi" w:hAnsiTheme="majorHAnsi" w:cs="Arial"/>
          <w:noProof/>
          <w:color w:val="000000" w:themeColor="text1"/>
          <w:sz w:val="22"/>
          <w:szCs w:val="22"/>
        </w:rPr>
        <w:t xml:space="preserve"> p</w:t>
      </w:r>
      <w:r>
        <w:rPr>
          <w:rFonts w:asciiTheme="majorHAnsi" w:hAnsiTheme="majorHAnsi" w:cs="Arial"/>
          <w:noProof/>
          <w:color w:val="000000" w:themeColor="text1"/>
          <w:sz w:val="22"/>
          <w:szCs w:val="22"/>
        </w:rPr>
        <w:t>ractical handbook, London: Sage</w:t>
      </w:r>
      <w:r w:rsidRPr="00BA56C3">
        <w:rPr>
          <w:rFonts w:asciiTheme="majorHAnsi" w:hAnsiTheme="majorHAnsi" w:cs="Arial"/>
          <w:noProof/>
          <w:color w:val="000000" w:themeColor="text1"/>
          <w:sz w:val="22"/>
          <w:szCs w:val="22"/>
        </w:rPr>
        <w:t>.</w:t>
      </w:r>
    </w:p>
    <w:p w14:paraId="1C72CF37" w14:textId="33BFACE9" w:rsidR="00AD523D" w:rsidRDefault="00AD523D" w:rsidP="00AD523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5B594880" w14:textId="6848AA06" w:rsidR="0076078F" w:rsidRDefault="0076078F" w:rsidP="00AD523D">
      <w:pPr>
        <w:spacing w:line="276" w:lineRule="auto"/>
        <w:ind w:left="1985"/>
        <w:rPr>
          <w:rFonts w:asciiTheme="majorHAnsi" w:hAnsiTheme="majorHAnsi" w:cs="Arial"/>
          <w:noProof/>
          <w:color w:val="000000" w:themeColor="text1"/>
          <w:sz w:val="22"/>
          <w:szCs w:val="22"/>
        </w:rPr>
      </w:pPr>
      <w:r w:rsidRPr="0076078F">
        <w:rPr>
          <w:rFonts w:asciiTheme="majorHAnsi" w:hAnsiTheme="majorHAnsi" w:cs="Arial"/>
          <w:noProof/>
          <w:color w:val="000000" w:themeColor="text1"/>
          <w:sz w:val="22"/>
          <w:szCs w:val="22"/>
        </w:rPr>
        <w:t>Starks, H. and Trinidad, S. B. (2007)</w:t>
      </w:r>
      <w:r>
        <w:rPr>
          <w:rFonts w:asciiTheme="majorHAnsi" w:hAnsiTheme="majorHAnsi" w:cs="Arial"/>
          <w:noProof/>
          <w:color w:val="000000" w:themeColor="text1"/>
          <w:sz w:val="22"/>
          <w:szCs w:val="22"/>
        </w:rPr>
        <w:t>. C</w:t>
      </w:r>
      <w:r w:rsidRPr="0076078F">
        <w:rPr>
          <w:rFonts w:asciiTheme="majorHAnsi" w:hAnsiTheme="majorHAnsi" w:cs="Arial"/>
          <w:noProof/>
          <w:color w:val="000000" w:themeColor="text1"/>
          <w:sz w:val="22"/>
          <w:szCs w:val="22"/>
        </w:rPr>
        <w:t xml:space="preserve">hoose your method: </w:t>
      </w:r>
      <w:r>
        <w:rPr>
          <w:rFonts w:asciiTheme="majorHAnsi" w:hAnsiTheme="majorHAnsi" w:cs="Arial"/>
          <w:noProof/>
          <w:color w:val="000000" w:themeColor="text1"/>
          <w:sz w:val="22"/>
          <w:szCs w:val="22"/>
        </w:rPr>
        <w:t>A</w:t>
      </w:r>
      <w:r w:rsidRPr="0076078F">
        <w:rPr>
          <w:rFonts w:asciiTheme="majorHAnsi" w:hAnsiTheme="majorHAnsi" w:cs="Arial"/>
          <w:noProof/>
          <w:color w:val="000000" w:themeColor="text1"/>
          <w:sz w:val="22"/>
          <w:szCs w:val="22"/>
        </w:rPr>
        <w:t xml:space="preserve"> comparison of phenomenology, discourse analysis, and grounded theory</w:t>
      </w:r>
      <w:r>
        <w:rPr>
          <w:rFonts w:asciiTheme="majorHAnsi" w:hAnsiTheme="majorHAnsi" w:cs="Arial"/>
          <w:noProof/>
          <w:color w:val="000000" w:themeColor="text1"/>
          <w:sz w:val="22"/>
          <w:szCs w:val="22"/>
        </w:rPr>
        <w:t xml:space="preserve">. </w:t>
      </w:r>
      <w:r w:rsidRPr="0076078F">
        <w:rPr>
          <w:rFonts w:asciiTheme="majorHAnsi" w:hAnsiTheme="majorHAnsi" w:cs="Arial"/>
          <w:noProof/>
          <w:color w:val="000000" w:themeColor="text1"/>
          <w:sz w:val="22"/>
          <w:szCs w:val="22"/>
        </w:rPr>
        <w:t>Qualitative Health Research</w:t>
      </w:r>
      <w:r>
        <w:rPr>
          <w:rFonts w:asciiTheme="majorHAnsi" w:hAnsiTheme="majorHAnsi" w:cs="Arial"/>
          <w:noProof/>
          <w:color w:val="000000" w:themeColor="text1"/>
          <w:sz w:val="22"/>
          <w:szCs w:val="22"/>
        </w:rPr>
        <w:t>,</w:t>
      </w:r>
      <w:r w:rsidRPr="0076078F">
        <w:rPr>
          <w:rFonts w:asciiTheme="majorHAnsi" w:hAnsiTheme="majorHAnsi" w:cs="Arial"/>
          <w:noProof/>
          <w:color w:val="000000" w:themeColor="text1"/>
          <w:sz w:val="22"/>
          <w:szCs w:val="22"/>
        </w:rPr>
        <w:t xml:space="preserve"> 17(10)</w:t>
      </w:r>
      <w:r>
        <w:rPr>
          <w:rFonts w:asciiTheme="majorHAnsi" w:hAnsiTheme="majorHAnsi" w:cs="Arial"/>
          <w:noProof/>
          <w:color w:val="000000" w:themeColor="text1"/>
          <w:sz w:val="22"/>
          <w:szCs w:val="22"/>
        </w:rPr>
        <w:t>,</w:t>
      </w:r>
      <w:r w:rsidRPr="0076078F">
        <w:rPr>
          <w:rFonts w:asciiTheme="majorHAnsi" w:hAnsiTheme="majorHAnsi" w:cs="Arial"/>
          <w:noProof/>
          <w:color w:val="000000" w:themeColor="text1"/>
          <w:sz w:val="22"/>
          <w:szCs w:val="22"/>
        </w:rPr>
        <w:t xml:space="preserve"> 1372–80.</w:t>
      </w:r>
    </w:p>
    <w:p w14:paraId="5C8AA55A" w14:textId="77777777" w:rsidR="0076078F" w:rsidRDefault="0076078F" w:rsidP="00AD523D">
      <w:pPr>
        <w:spacing w:line="276" w:lineRule="auto"/>
        <w:ind w:left="1985"/>
        <w:rPr>
          <w:rFonts w:asciiTheme="majorHAnsi" w:hAnsiTheme="majorHAnsi" w:cs="Arial"/>
          <w:noProof/>
          <w:color w:val="000000" w:themeColor="text1"/>
          <w:sz w:val="22"/>
          <w:szCs w:val="22"/>
        </w:rPr>
      </w:pPr>
    </w:p>
    <w:p w14:paraId="39C5CD0C" w14:textId="118BE750" w:rsidR="0084720C" w:rsidRDefault="0084720C" w:rsidP="00AD523D">
      <w:pPr>
        <w:spacing w:line="276" w:lineRule="auto"/>
        <w:ind w:left="1985"/>
        <w:rPr>
          <w:rFonts w:asciiTheme="majorHAnsi" w:hAnsiTheme="majorHAnsi" w:cs="Arial"/>
          <w:noProof/>
          <w:color w:val="000000" w:themeColor="text1"/>
          <w:sz w:val="22"/>
          <w:szCs w:val="22"/>
        </w:rPr>
      </w:pPr>
      <w:r w:rsidRPr="0084720C">
        <w:rPr>
          <w:rFonts w:asciiTheme="majorHAnsi" w:hAnsiTheme="majorHAnsi" w:cs="Arial"/>
          <w:noProof/>
          <w:color w:val="000000" w:themeColor="text1"/>
          <w:sz w:val="22"/>
          <w:szCs w:val="22"/>
        </w:rPr>
        <w:t>Tufford, L., &amp; Newman, P. (2012). Bracketing in qualitative research. Qualitative social work, 11(1), 80-96.</w:t>
      </w:r>
    </w:p>
    <w:p w14:paraId="4EB4EF30" w14:textId="34C972F0" w:rsidR="00B91103" w:rsidRDefault="00B91103" w:rsidP="007D4F33">
      <w:pPr>
        <w:spacing w:line="276" w:lineRule="auto"/>
        <w:ind w:left="1985"/>
        <w:rPr>
          <w:rFonts w:asciiTheme="majorHAnsi" w:hAnsiTheme="majorHAnsi" w:cs="Arial"/>
          <w:noProof/>
          <w:color w:val="000000" w:themeColor="text1"/>
          <w:sz w:val="22"/>
          <w:szCs w:val="22"/>
        </w:rPr>
      </w:pPr>
    </w:p>
    <w:sectPr w:rsidR="00B91103"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F00B" w14:textId="77777777" w:rsidR="00334016" w:rsidRDefault="00334016" w:rsidP="00074FBD">
      <w:r>
        <w:separator/>
      </w:r>
    </w:p>
  </w:endnote>
  <w:endnote w:type="continuationSeparator" w:id="0">
    <w:p w14:paraId="535CE989" w14:textId="77777777" w:rsidR="00334016" w:rsidRDefault="00334016"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9BD2" w14:textId="77777777" w:rsidR="00334016" w:rsidRDefault="00334016" w:rsidP="00074FBD">
      <w:r>
        <w:separator/>
      </w:r>
    </w:p>
  </w:footnote>
  <w:footnote w:type="continuationSeparator" w:id="0">
    <w:p w14:paraId="71C609A7" w14:textId="77777777" w:rsidR="00334016" w:rsidRDefault="00334016"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E72"/>
    <w:multiLevelType w:val="hybridMultilevel"/>
    <w:tmpl w:val="10C0D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919CF"/>
    <w:multiLevelType w:val="hybridMultilevel"/>
    <w:tmpl w:val="B2A27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1133723E"/>
    <w:multiLevelType w:val="hybridMultilevel"/>
    <w:tmpl w:val="11F8C3CA"/>
    <w:lvl w:ilvl="0" w:tplc="72DA7B86">
      <w:numFmt w:val="bullet"/>
      <w:lvlText w:val="•"/>
      <w:lvlJc w:val="left"/>
      <w:pPr>
        <w:ind w:left="2705" w:hanging="720"/>
      </w:pPr>
      <w:rPr>
        <w:rFonts w:ascii="Calibri" w:eastAsiaTheme="minorEastAsia" w:hAnsi="Calibri"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11940FA8"/>
    <w:multiLevelType w:val="hybridMultilevel"/>
    <w:tmpl w:val="8370D764"/>
    <w:lvl w:ilvl="0" w:tplc="72DA7B86">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81285"/>
    <w:multiLevelType w:val="hybridMultilevel"/>
    <w:tmpl w:val="41D26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A03E52"/>
    <w:multiLevelType w:val="hybridMultilevel"/>
    <w:tmpl w:val="0178B65C"/>
    <w:lvl w:ilvl="0" w:tplc="72DA7B86">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210981"/>
    <w:multiLevelType w:val="hybridMultilevel"/>
    <w:tmpl w:val="9026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32508"/>
    <w:multiLevelType w:val="hybridMultilevel"/>
    <w:tmpl w:val="58AC30BE"/>
    <w:lvl w:ilvl="0" w:tplc="72DA7B8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F0349"/>
    <w:multiLevelType w:val="hybridMultilevel"/>
    <w:tmpl w:val="8F4A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A2228B"/>
    <w:multiLevelType w:val="hybridMultilevel"/>
    <w:tmpl w:val="75D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7543"/>
    <w:multiLevelType w:val="hybridMultilevel"/>
    <w:tmpl w:val="9A3EAF3C"/>
    <w:lvl w:ilvl="0" w:tplc="72DA7B86">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4F2EA7"/>
    <w:multiLevelType w:val="hybridMultilevel"/>
    <w:tmpl w:val="F19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4540"/>
    <w:multiLevelType w:val="hybridMultilevel"/>
    <w:tmpl w:val="B2C495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9D5505E"/>
    <w:multiLevelType w:val="hybridMultilevel"/>
    <w:tmpl w:val="DCD8FD3C"/>
    <w:lvl w:ilvl="0" w:tplc="72DA7B86">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24F5F"/>
    <w:multiLevelType w:val="hybridMultilevel"/>
    <w:tmpl w:val="5F7A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CB7355"/>
    <w:multiLevelType w:val="hybridMultilevel"/>
    <w:tmpl w:val="97008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E09A1"/>
    <w:multiLevelType w:val="hybridMultilevel"/>
    <w:tmpl w:val="171283EC"/>
    <w:lvl w:ilvl="0" w:tplc="72DA7B86">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1829AE"/>
    <w:multiLevelType w:val="hybridMultilevel"/>
    <w:tmpl w:val="5868E72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717483"/>
    <w:multiLevelType w:val="hybridMultilevel"/>
    <w:tmpl w:val="45E02FA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5"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6"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F5661"/>
    <w:multiLevelType w:val="hybridMultilevel"/>
    <w:tmpl w:val="39583CD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8" w15:restartNumberingAfterBreak="0">
    <w:nsid w:val="64101698"/>
    <w:multiLevelType w:val="hybridMultilevel"/>
    <w:tmpl w:val="D31E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E133D3"/>
    <w:multiLevelType w:val="hybridMultilevel"/>
    <w:tmpl w:val="E408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B27A2C"/>
    <w:multiLevelType w:val="hybridMultilevel"/>
    <w:tmpl w:val="682E43FA"/>
    <w:lvl w:ilvl="0" w:tplc="72DA7B86">
      <w:numFmt w:val="bullet"/>
      <w:lvlText w:val="•"/>
      <w:lvlJc w:val="left"/>
      <w:pPr>
        <w:ind w:left="2705" w:hanging="720"/>
      </w:pPr>
      <w:rPr>
        <w:rFonts w:ascii="Calibri" w:eastAsiaTheme="minorEastAsia" w:hAnsi="Calibri"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1" w15:restartNumberingAfterBreak="0">
    <w:nsid w:val="7CD72527"/>
    <w:multiLevelType w:val="hybridMultilevel"/>
    <w:tmpl w:val="077ED95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25"/>
  </w:num>
  <w:num w:numId="2">
    <w:abstractNumId w:val="13"/>
  </w:num>
  <w:num w:numId="3">
    <w:abstractNumId w:val="26"/>
  </w:num>
  <w:num w:numId="4">
    <w:abstractNumId w:val="1"/>
  </w:num>
  <w:num w:numId="5">
    <w:abstractNumId w:val="14"/>
  </w:num>
  <w:num w:numId="6">
    <w:abstractNumId w:val="21"/>
  </w:num>
  <w:num w:numId="7">
    <w:abstractNumId w:val="19"/>
  </w:num>
  <w:num w:numId="8">
    <w:abstractNumId w:val="3"/>
  </w:num>
  <w:num w:numId="9">
    <w:abstractNumId w:val="16"/>
  </w:num>
  <w:num w:numId="10">
    <w:abstractNumId w:val="31"/>
  </w:num>
  <w:num w:numId="11">
    <w:abstractNumId w:val="24"/>
  </w:num>
  <w:num w:numId="12">
    <w:abstractNumId w:val="29"/>
  </w:num>
  <w:num w:numId="13">
    <w:abstractNumId w:val="6"/>
  </w:num>
  <w:num w:numId="14">
    <w:abstractNumId w:val="8"/>
  </w:num>
  <w:num w:numId="15">
    <w:abstractNumId w:val="18"/>
  </w:num>
  <w:num w:numId="16">
    <w:abstractNumId w:val="0"/>
  </w:num>
  <w:num w:numId="17">
    <w:abstractNumId w:val="11"/>
  </w:num>
  <w:num w:numId="18">
    <w:abstractNumId w:val="28"/>
  </w:num>
  <w:num w:numId="19">
    <w:abstractNumId w:val="10"/>
  </w:num>
  <w:num w:numId="20">
    <w:abstractNumId w:val="27"/>
  </w:num>
  <w:num w:numId="21">
    <w:abstractNumId w:val="2"/>
  </w:num>
  <w:num w:numId="22">
    <w:abstractNumId w:val="15"/>
  </w:num>
  <w:num w:numId="23">
    <w:abstractNumId w:val="9"/>
  </w:num>
  <w:num w:numId="24">
    <w:abstractNumId w:val="17"/>
  </w:num>
  <w:num w:numId="25">
    <w:abstractNumId w:val="22"/>
  </w:num>
  <w:num w:numId="26">
    <w:abstractNumId w:val="7"/>
  </w:num>
  <w:num w:numId="27">
    <w:abstractNumId w:val="5"/>
  </w:num>
  <w:num w:numId="28">
    <w:abstractNumId w:val="4"/>
  </w:num>
  <w:num w:numId="29">
    <w:abstractNumId w:val="30"/>
  </w:num>
  <w:num w:numId="30">
    <w:abstractNumId w:val="12"/>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97A"/>
    <w:rsid w:val="000121DA"/>
    <w:rsid w:val="00012710"/>
    <w:rsid w:val="000152A4"/>
    <w:rsid w:val="00026A9C"/>
    <w:rsid w:val="000270FC"/>
    <w:rsid w:val="00031F33"/>
    <w:rsid w:val="00037AE7"/>
    <w:rsid w:val="00042B1E"/>
    <w:rsid w:val="000441CF"/>
    <w:rsid w:val="000454F8"/>
    <w:rsid w:val="000517B9"/>
    <w:rsid w:val="000526A6"/>
    <w:rsid w:val="0006005A"/>
    <w:rsid w:val="000622A5"/>
    <w:rsid w:val="000679AE"/>
    <w:rsid w:val="00073B8E"/>
    <w:rsid w:val="00074FBD"/>
    <w:rsid w:val="00075F45"/>
    <w:rsid w:val="000809BF"/>
    <w:rsid w:val="0008186A"/>
    <w:rsid w:val="00084BA0"/>
    <w:rsid w:val="000957F8"/>
    <w:rsid w:val="000960CD"/>
    <w:rsid w:val="000A1B88"/>
    <w:rsid w:val="000A1F71"/>
    <w:rsid w:val="000A74FE"/>
    <w:rsid w:val="000B3453"/>
    <w:rsid w:val="000B3EB4"/>
    <w:rsid w:val="000B651F"/>
    <w:rsid w:val="000C21DC"/>
    <w:rsid w:val="000C3835"/>
    <w:rsid w:val="000C4244"/>
    <w:rsid w:val="000C5AAB"/>
    <w:rsid w:val="000D04FB"/>
    <w:rsid w:val="000D0EF8"/>
    <w:rsid w:val="000D2E67"/>
    <w:rsid w:val="000E1EAF"/>
    <w:rsid w:val="000E23E4"/>
    <w:rsid w:val="000E37A7"/>
    <w:rsid w:val="000E4412"/>
    <w:rsid w:val="000E5CD6"/>
    <w:rsid w:val="000F3B3E"/>
    <w:rsid w:val="000F43D7"/>
    <w:rsid w:val="000F764D"/>
    <w:rsid w:val="00101E0A"/>
    <w:rsid w:val="0010464D"/>
    <w:rsid w:val="00104ECE"/>
    <w:rsid w:val="001066DA"/>
    <w:rsid w:val="00111E0F"/>
    <w:rsid w:val="00122DE9"/>
    <w:rsid w:val="001234C6"/>
    <w:rsid w:val="001256AE"/>
    <w:rsid w:val="001273C8"/>
    <w:rsid w:val="00134F05"/>
    <w:rsid w:val="001405D0"/>
    <w:rsid w:val="00144B19"/>
    <w:rsid w:val="00146B95"/>
    <w:rsid w:val="00147713"/>
    <w:rsid w:val="00150045"/>
    <w:rsid w:val="00150D0F"/>
    <w:rsid w:val="00160F3A"/>
    <w:rsid w:val="001677D9"/>
    <w:rsid w:val="001713C3"/>
    <w:rsid w:val="00171B6D"/>
    <w:rsid w:val="00171F5B"/>
    <w:rsid w:val="00173364"/>
    <w:rsid w:val="00173C7C"/>
    <w:rsid w:val="00176554"/>
    <w:rsid w:val="0017698F"/>
    <w:rsid w:val="00183800"/>
    <w:rsid w:val="00186AA5"/>
    <w:rsid w:val="00187318"/>
    <w:rsid w:val="001A1FD2"/>
    <w:rsid w:val="001A55BE"/>
    <w:rsid w:val="001A6C9D"/>
    <w:rsid w:val="001B0B50"/>
    <w:rsid w:val="001B1014"/>
    <w:rsid w:val="001B5701"/>
    <w:rsid w:val="001B6482"/>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084F"/>
    <w:rsid w:val="002226F4"/>
    <w:rsid w:val="0023232D"/>
    <w:rsid w:val="00232447"/>
    <w:rsid w:val="00232DEE"/>
    <w:rsid w:val="00233F1C"/>
    <w:rsid w:val="00243ED4"/>
    <w:rsid w:val="00244B5E"/>
    <w:rsid w:val="002460BA"/>
    <w:rsid w:val="00246E8C"/>
    <w:rsid w:val="002513D3"/>
    <w:rsid w:val="00253441"/>
    <w:rsid w:val="00254283"/>
    <w:rsid w:val="002550C0"/>
    <w:rsid w:val="002555BF"/>
    <w:rsid w:val="002607DA"/>
    <w:rsid w:val="00263AC3"/>
    <w:rsid w:val="00265898"/>
    <w:rsid w:val="002662F6"/>
    <w:rsid w:val="00270B7A"/>
    <w:rsid w:val="00273E39"/>
    <w:rsid w:val="002745B0"/>
    <w:rsid w:val="00274C94"/>
    <w:rsid w:val="00281602"/>
    <w:rsid w:val="00285782"/>
    <w:rsid w:val="002866A5"/>
    <w:rsid w:val="00295ABB"/>
    <w:rsid w:val="002B0819"/>
    <w:rsid w:val="002B1453"/>
    <w:rsid w:val="002B18A7"/>
    <w:rsid w:val="002B2A04"/>
    <w:rsid w:val="002B2B3C"/>
    <w:rsid w:val="002C18DE"/>
    <w:rsid w:val="002C2E9A"/>
    <w:rsid w:val="002C658F"/>
    <w:rsid w:val="002D02F0"/>
    <w:rsid w:val="002D08A8"/>
    <w:rsid w:val="002D11FA"/>
    <w:rsid w:val="002D5E6B"/>
    <w:rsid w:val="002D6075"/>
    <w:rsid w:val="002E0D28"/>
    <w:rsid w:val="002E2803"/>
    <w:rsid w:val="002E2C65"/>
    <w:rsid w:val="002E32CC"/>
    <w:rsid w:val="002E37D8"/>
    <w:rsid w:val="002E65B8"/>
    <w:rsid w:val="002F38B2"/>
    <w:rsid w:val="002F4AA1"/>
    <w:rsid w:val="002F54AD"/>
    <w:rsid w:val="00301339"/>
    <w:rsid w:val="00303F9D"/>
    <w:rsid w:val="00310121"/>
    <w:rsid w:val="00317782"/>
    <w:rsid w:val="00322003"/>
    <w:rsid w:val="00323C5E"/>
    <w:rsid w:val="003256E9"/>
    <w:rsid w:val="00327C33"/>
    <w:rsid w:val="00333043"/>
    <w:rsid w:val="00334016"/>
    <w:rsid w:val="003414BD"/>
    <w:rsid w:val="003443DF"/>
    <w:rsid w:val="0034478D"/>
    <w:rsid w:val="00346A95"/>
    <w:rsid w:val="00355D09"/>
    <w:rsid w:val="00357E31"/>
    <w:rsid w:val="00361AED"/>
    <w:rsid w:val="0036250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33C"/>
    <w:rsid w:val="003C0D0E"/>
    <w:rsid w:val="003C0DE3"/>
    <w:rsid w:val="003C1634"/>
    <w:rsid w:val="003C5F9D"/>
    <w:rsid w:val="003D235E"/>
    <w:rsid w:val="003D405B"/>
    <w:rsid w:val="003D5A72"/>
    <w:rsid w:val="003E0781"/>
    <w:rsid w:val="003E75CE"/>
    <w:rsid w:val="003F2E19"/>
    <w:rsid w:val="003F5919"/>
    <w:rsid w:val="003F7809"/>
    <w:rsid w:val="003F7C82"/>
    <w:rsid w:val="00402D45"/>
    <w:rsid w:val="004030CE"/>
    <w:rsid w:val="00412126"/>
    <w:rsid w:val="00414410"/>
    <w:rsid w:val="004151EC"/>
    <w:rsid w:val="0042078C"/>
    <w:rsid w:val="00421886"/>
    <w:rsid w:val="00425F4E"/>
    <w:rsid w:val="00425FAB"/>
    <w:rsid w:val="0043059F"/>
    <w:rsid w:val="00431E03"/>
    <w:rsid w:val="00437FB6"/>
    <w:rsid w:val="00441E3E"/>
    <w:rsid w:val="00443F1E"/>
    <w:rsid w:val="004450A8"/>
    <w:rsid w:val="00453CE7"/>
    <w:rsid w:val="004576C7"/>
    <w:rsid w:val="00460429"/>
    <w:rsid w:val="0046044A"/>
    <w:rsid w:val="00461796"/>
    <w:rsid w:val="00463014"/>
    <w:rsid w:val="004652C2"/>
    <w:rsid w:val="00465E09"/>
    <w:rsid w:val="00467AF1"/>
    <w:rsid w:val="0047145F"/>
    <w:rsid w:val="00471E3D"/>
    <w:rsid w:val="00472A45"/>
    <w:rsid w:val="00486933"/>
    <w:rsid w:val="00486C59"/>
    <w:rsid w:val="0049188F"/>
    <w:rsid w:val="00495067"/>
    <w:rsid w:val="004A5B3D"/>
    <w:rsid w:val="004B5760"/>
    <w:rsid w:val="004B7455"/>
    <w:rsid w:val="004B78E1"/>
    <w:rsid w:val="004C017A"/>
    <w:rsid w:val="004C211B"/>
    <w:rsid w:val="004C6AEB"/>
    <w:rsid w:val="004C6CFB"/>
    <w:rsid w:val="004D20E7"/>
    <w:rsid w:val="004E0DF1"/>
    <w:rsid w:val="004E2BC0"/>
    <w:rsid w:val="004E4EA8"/>
    <w:rsid w:val="004E54AD"/>
    <w:rsid w:val="004E6AAC"/>
    <w:rsid w:val="004E7B0A"/>
    <w:rsid w:val="004F064C"/>
    <w:rsid w:val="004F179D"/>
    <w:rsid w:val="004F41BF"/>
    <w:rsid w:val="00501B4D"/>
    <w:rsid w:val="00502588"/>
    <w:rsid w:val="00502EBE"/>
    <w:rsid w:val="005039A9"/>
    <w:rsid w:val="005063D8"/>
    <w:rsid w:val="00506ACE"/>
    <w:rsid w:val="00506F2F"/>
    <w:rsid w:val="005137FC"/>
    <w:rsid w:val="00514BA1"/>
    <w:rsid w:val="00516A7B"/>
    <w:rsid w:val="005175C6"/>
    <w:rsid w:val="00520597"/>
    <w:rsid w:val="00525567"/>
    <w:rsid w:val="005255DE"/>
    <w:rsid w:val="00525E6B"/>
    <w:rsid w:val="00526562"/>
    <w:rsid w:val="00527383"/>
    <w:rsid w:val="00527A73"/>
    <w:rsid w:val="00530776"/>
    <w:rsid w:val="00534CF5"/>
    <w:rsid w:val="005357CE"/>
    <w:rsid w:val="0054102E"/>
    <w:rsid w:val="00541AB8"/>
    <w:rsid w:val="00541AEF"/>
    <w:rsid w:val="005430F7"/>
    <w:rsid w:val="00545395"/>
    <w:rsid w:val="0054632F"/>
    <w:rsid w:val="00551895"/>
    <w:rsid w:val="00551BE6"/>
    <w:rsid w:val="005549E6"/>
    <w:rsid w:val="00562D43"/>
    <w:rsid w:val="00563676"/>
    <w:rsid w:val="00563D42"/>
    <w:rsid w:val="00567930"/>
    <w:rsid w:val="0056793F"/>
    <w:rsid w:val="00570E4C"/>
    <w:rsid w:val="005812D7"/>
    <w:rsid w:val="00581450"/>
    <w:rsid w:val="00581D25"/>
    <w:rsid w:val="00582520"/>
    <w:rsid w:val="005828DC"/>
    <w:rsid w:val="00584788"/>
    <w:rsid w:val="00586DF4"/>
    <w:rsid w:val="0059053F"/>
    <w:rsid w:val="00590B8F"/>
    <w:rsid w:val="0059102D"/>
    <w:rsid w:val="0059242A"/>
    <w:rsid w:val="00594BE4"/>
    <w:rsid w:val="0059608B"/>
    <w:rsid w:val="005A2106"/>
    <w:rsid w:val="005A3A7F"/>
    <w:rsid w:val="005A4872"/>
    <w:rsid w:val="005A7D8C"/>
    <w:rsid w:val="005B3208"/>
    <w:rsid w:val="005B47A1"/>
    <w:rsid w:val="005C005A"/>
    <w:rsid w:val="005C3B4F"/>
    <w:rsid w:val="005D1991"/>
    <w:rsid w:val="005D4BC5"/>
    <w:rsid w:val="005D503E"/>
    <w:rsid w:val="005D5454"/>
    <w:rsid w:val="005E0486"/>
    <w:rsid w:val="005E6692"/>
    <w:rsid w:val="005F095D"/>
    <w:rsid w:val="005F1DBF"/>
    <w:rsid w:val="005F433F"/>
    <w:rsid w:val="006025DF"/>
    <w:rsid w:val="00604D33"/>
    <w:rsid w:val="006102F5"/>
    <w:rsid w:val="006156E5"/>
    <w:rsid w:val="0061602F"/>
    <w:rsid w:val="00616245"/>
    <w:rsid w:val="0062576D"/>
    <w:rsid w:val="00626BE1"/>
    <w:rsid w:val="00635690"/>
    <w:rsid w:val="00635D1D"/>
    <w:rsid w:val="00635DFF"/>
    <w:rsid w:val="00635E12"/>
    <w:rsid w:val="006437D2"/>
    <w:rsid w:val="0064408E"/>
    <w:rsid w:val="00645DAC"/>
    <w:rsid w:val="00646C43"/>
    <w:rsid w:val="006536A0"/>
    <w:rsid w:val="00670C88"/>
    <w:rsid w:val="00672E1D"/>
    <w:rsid w:val="006758A0"/>
    <w:rsid w:val="006872FE"/>
    <w:rsid w:val="006937A9"/>
    <w:rsid w:val="0069633D"/>
    <w:rsid w:val="006A23BF"/>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E79EC"/>
    <w:rsid w:val="006F0268"/>
    <w:rsid w:val="006F2014"/>
    <w:rsid w:val="006F667A"/>
    <w:rsid w:val="006F739C"/>
    <w:rsid w:val="006F7526"/>
    <w:rsid w:val="00700814"/>
    <w:rsid w:val="00704999"/>
    <w:rsid w:val="00710257"/>
    <w:rsid w:val="00710B06"/>
    <w:rsid w:val="00714C3B"/>
    <w:rsid w:val="00714CAD"/>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6FB6"/>
    <w:rsid w:val="007470E6"/>
    <w:rsid w:val="007472CD"/>
    <w:rsid w:val="007475D5"/>
    <w:rsid w:val="007478B2"/>
    <w:rsid w:val="00750453"/>
    <w:rsid w:val="00757EA8"/>
    <w:rsid w:val="0076078F"/>
    <w:rsid w:val="00762C20"/>
    <w:rsid w:val="00773F4C"/>
    <w:rsid w:val="00774BBC"/>
    <w:rsid w:val="00780383"/>
    <w:rsid w:val="0078213A"/>
    <w:rsid w:val="00783180"/>
    <w:rsid w:val="007866F0"/>
    <w:rsid w:val="00791F78"/>
    <w:rsid w:val="007974E8"/>
    <w:rsid w:val="007A18E5"/>
    <w:rsid w:val="007A20BF"/>
    <w:rsid w:val="007A2A2D"/>
    <w:rsid w:val="007A2D1D"/>
    <w:rsid w:val="007A55F9"/>
    <w:rsid w:val="007A6254"/>
    <w:rsid w:val="007B06A7"/>
    <w:rsid w:val="007B0710"/>
    <w:rsid w:val="007B46CE"/>
    <w:rsid w:val="007B6D30"/>
    <w:rsid w:val="007B75C1"/>
    <w:rsid w:val="007C6A06"/>
    <w:rsid w:val="007C7E18"/>
    <w:rsid w:val="007D2667"/>
    <w:rsid w:val="007D4F33"/>
    <w:rsid w:val="007D7D04"/>
    <w:rsid w:val="007E2FEA"/>
    <w:rsid w:val="007E3D27"/>
    <w:rsid w:val="007E53B4"/>
    <w:rsid w:val="007F11EB"/>
    <w:rsid w:val="007F3F0E"/>
    <w:rsid w:val="007F7E3A"/>
    <w:rsid w:val="00800DFC"/>
    <w:rsid w:val="008230A1"/>
    <w:rsid w:val="00826582"/>
    <w:rsid w:val="008271F1"/>
    <w:rsid w:val="00830FED"/>
    <w:rsid w:val="0083648F"/>
    <w:rsid w:val="00837169"/>
    <w:rsid w:val="00837C1E"/>
    <w:rsid w:val="0084038A"/>
    <w:rsid w:val="00840DC6"/>
    <w:rsid w:val="00844C3B"/>
    <w:rsid w:val="0084720C"/>
    <w:rsid w:val="00850C87"/>
    <w:rsid w:val="008539C3"/>
    <w:rsid w:val="0087290C"/>
    <w:rsid w:val="00873C59"/>
    <w:rsid w:val="008758D0"/>
    <w:rsid w:val="00875C56"/>
    <w:rsid w:val="00880237"/>
    <w:rsid w:val="00880363"/>
    <w:rsid w:val="0088290D"/>
    <w:rsid w:val="008865CA"/>
    <w:rsid w:val="0089101D"/>
    <w:rsid w:val="00892C69"/>
    <w:rsid w:val="00894D16"/>
    <w:rsid w:val="00897EB1"/>
    <w:rsid w:val="008A303C"/>
    <w:rsid w:val="008A3F06"/>
    <w:rsid w:val="008B7255"/>
    <w:rsid w:val="008C1A00"/>
    <w:rsid w:val="008C2BDA"/>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263"/>
    <w:rsid w:val="009456D2"/>
    <w:rsid w:val="00951A91"/>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1500"/>
    <w:rsid w:val="009A601C"/>
    <w:rsid w:val="009B0FC0"/>
    <w:rsid w:val="009C0CC9"/>
    <w:rsid w:val="009C12F2"/>
    <w:rsid w:val="009C1A47"/>
    <w:rsid w:val="009C2788"/>
    <w:rsid w:val="009C565B"/>
    <w:rsid w:val="009C69DF"/>
    <w:rsid w:val="009D01DA"/>
    <w:rsid w:val="009D71D1"/>
    <w:rsid w:val="009D7F51"/>
    <w:rsid w:val="009E2EAC"/>
    <w:rsid w:val="009E4B1C"/>
    <w:rsid w:val="009E4FBD"/>
    <w:rsid w:val="009F2922"/>
    <w:rsid w:val="009F66BF"/>
    <w:rsid w:val="00A0147A"/>
    <w:rsid w:val="00A02AD7"/>
    <w:rsid w:val="00A04701"/>
    <w:rsid w:val="00A10055"/>
    <w:rsid w:val="00A1162E"/>
    <w:rsid w:val="00A117C1"/>
    <w:rsid w:val="00A12F3B"/>
    <w:rsid w:val="00A1784E"/>
    <w:rsid w:val="00A2002F"/>
    <w:rsid w:val="00A21DB7"/>
    <w:rsid w:val="00A23A23"/>
    <w:rsid w:val="00A25746"/>
    <w:rsid w:val="00A31816"/>
    <w:rsid w:val="00A32C49"/>
    <w:rsid w:val="00A348F5"/>
    <w:rsid w:val="00A35233"/>
    <w:rsid w:val="00A36072"/>
    <w:rsid w:val="00A422FA"/>
    <w:rsid w:val="00A452AE"/>
    <w:rsid w:val="00A50BE2"/>
    <w:rsid w:val="00A51A14"/>
    <w:rsid w:val="00A609FA"/>
    <w:rsid w:val="00A61F0E"/>
    <w:rsid w:val="00A63B43"/>
    <w:rsid w:val="00A643E8"/>
    <w:rsid w:val="00A66917"/>
    <w:rsid w:val="00A70218"/>
    <w:rsid w:val="00A72ABF"/>
    <w:rsid w:val="00A73C27"/>
    <w:rsid w:val="00A75D2F"/>
    <w:rsid w:val="00A76CED"/>
    <w:rsid w:val="00A8041E"/>
    <w:rsid w:val="00A8392B"/>
    <w:rsid w:val="00A85ADA"/>
    <w:rsid w:val="00A91406"/>
    <w:rsid w:val="00A92E33"/>
    <w:rsid w:val="00A932DE"/>
    <w:rsid w:val="00A96F7B"/>
    <w:rsid w:val="00A9777F"/>
    <w:rsid w:val="00AA0C05"/>
    <w:rsid w:val="00AA192E"/>
    <w:rsid w:val="00AB0915"/>
    <w:rsid w:val="00AB15CD"/>
    <w:rsid w:val="00AB1636"/>
    <w:rsid w:val="00AB21D7"/>
    <w:rsid w:val="00AB3794"/>
    <w:rsid w:val="00AB57ED"/>
    <w:rsid w:val="00AC173F"/>
    <w:rsid w:val="00AC2F03"/>
    <w:rsid w:val="00AC3CC3"/>
    <w:rsid w:val="00AC7A96"/>
    <w:rsid w:val="00AD1CFA"/>
    <w:rsid w:val="00AD523D"/>
    <w:rsid w:val="00AD5DD5"/>
    <w:rsid w:val="00AD7D80"/>
    <w:rsid w:val="00AE0DB8"/>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5C8E"/>
    <w:rsid w:val="00B37A8B"/>
    <w:rsid w:val="00B40A11"/>
    <w:rsid w:val="00B4126F"/>
    <w:rsid w:val="00B41343"/>
    <w:rsid w:val="00B41D7D"/>
    <w:rsid w:val="00B51B2E"/>
    <w:rsid w:val="00B55076"/>
    <w:rsid w:val="00B55296"/>
    <w:rsid w:val="00B56B6D"/>
    <w:rsid w:val="00B611C9"/>
    <w:rsid w:val="00B61EDD"/>
    <w:rsid w:val="00B678E5"/>
    <w:rsid w:val="00B72D04"/>
    <w:rsid w:val="00B85A55"/>
    <w:rsid w:val="00B85DBC"/>
    <w:rsid w:val="00B90752"/>
    <w:rsid w:val="00B91103"/>
    <w:rsid w:val="00B9396F"/>
    <w:rsid w:val="00BA165A"/>
    <w:rsid w:val="00BA1E16"/>
    <w:rsid w:val="00BA4044"/>
    <w:rsid w:val="00BA47ED"/>
    <w:rsid w:val="00BA542D"/>
    <w:rsid w:val="00BA56C3"/>
    <w:rsid w:val="00BA5BC8"/>
    <w:rsid w:val="00BA65A5"/>
    <w:rsid w:val="00BA6706"/>
    <w:rsid w:val="00BA7829"/>
    <w:rsid w:val="00BB4772"/>
    <w:rsid w:val="00BB6E0F"/>
    <w:rsid w:val="00BB7B78"/>
    <w:rsid w:val="00BC2B23"/>
    <w:rsid w:val="00BC33CF"/>
    <w:rsid w:val="00BC51B7"/>
    <w:rsid w:val="00BC5D2B"/>
    <w:rsid w:val="00BC606A"/>
    <w:rsid w:val="00BD0D1E"/>
    <w:rsid w:val="00BD0DBF"/>
    <w:rsid w:val="00BE2099"/>
    <w:rsid w:val="00BE2F3A"/>
    <w:rsid w:val="00BE47B2"/>
    <w:rsid w:val="00BF3D58"/>
    <w:rsid w:val="00BF3EF9"/>
    <w:rsid w:val="00C06B3D"/>
    <w:rsid w:val="00C073A6"/>
    <w:rsid w:val="00C10444"/>
    <w:rsid w:val="00C16231"/>
    <w:rsid w:val="00C20370"/>
    <w:rsid w:val="00C22FC5"/>
    <w:rsid w:val="00C23D95"/>
    <w:rsid w:val="00C324EC"/>
    <w:rsid w:val="00C34AFC"/>
    <w:rsid w:val="00C37115"/>
    <w:rsid w:val="00C37EC2"/>
    <w:rsid w:val="00C42FFE"/>
    <w:rsid w:val="00C47FF7"/>
    <w:rsid w:val="00C5509F"/>
    <w:rsid w:val="00C55863"/>
    <w:rsid w:val="00C57DDA"/>
    <w:rsid w:val="00C61040"/>
    <w:rsid w:val="00C63BC5"/>
    <w:rsid w:val="00C72BEC"/>
    <w:rsid w:val="00C73D28"/>
    <w:rsid w:val="00C75036"/>
    <w:rsid w:val="00C76C75"/>
    <w:rsid w:val="00C814B4"/>
    <w:rsid w:val="00C87046"/>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5A79"/>
    <w:rsid w:val="00D35AA9"/>
    <w:rsid w:val="00D35B98"/>
    <w:rsid w:val="00D47D32"/>
    <w:rsid w:val="00D51178"/>
    <w:rsid w:val="00D54704"/>
    <w:rsid w:val="00D55FA8"/>
    <w:rsid w:val="00D57B81"/>
    <w:rsid w:val="00D606FD"/>
    <w:rsid w:val="00D60A10"/>
    <w:rsid w:val="00D61673"/>
    <w:rsid w:val="00D6366F"/>
    <w:rsid w:val="00D7523D"/>
    <w:rsid w:val="00D758CB"/>
    <w:rsid w:val="00D771EE"/>
    <w:rsid w:val="00D8380A"/>
    <w:rsid w:val="00D843CB"/>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DF7580"/>
    <w:rsid w:val="00E00D82"/>
    <w:rsid w:val="00E01092"/>
    <w:rsid w:val="00E01A05"/>
    <w:rsid w:val="00E03CF6"/>
    <w:rsid w:val="00E05A8F"/>
    <w:rsid w:val="00E13EC1"/>
    <w:rsid w:val="00E21142"/>
    <w:rsid w:val="00E23308"/>
    <w:rsid w:val="00E2620D"/>
    <w:rsid w:val="00E270EE"/>
    <w:rsid w:val="00E3025F"/>
    <w:rsid w:val="00E313AD"/>
    <w:rsid w:val="00E31E06"/>
    <w:rsid w:val="00E3213C"/>
    <w:rsid w:val="00E36098"/>
    <w:rsid w:val="00E41138"/>
    <w:rsid w:val="00E41AFF"/>
    <w:rsid w:val="00E44913"/>
    <w:rsid w:val="00E44A14"/>
    <w:rsid w:val="00E452F4"/>
    <w:rsid w:val="00E51DFE"/>
    <w:rsid w:val="00E521F8"/>
    <w:rsid w:val="00E52CAA"/>
    <w:rsid w:val="00E5710E"/>
    <w:rsid w:val="00E60443"/>
    <w:rsid w:val="00E6420E"/>
    <w:rsid w:val="00E659A3"/>
    <w:rsid w:val="00E67005"/>
    <w:rsid w:val="00E815A6"/>
    <w:rsid w:val="00E8266F"/>
    <w:rsid w:val="00E84792"/>
    <w:rsid w:val="00E96F81"/>
    <w:rsid w:val="00EA2C31"/>
    <w:rsid w:val="00EA679D"/>
    <w:rsid w:val="00EB73E1"/>
    <w:rsid w:val="00EC0021"/>
    <w:rsid w:val="00EC1E16"/>
    <w:rsid w:val="00EC56A1"/>
    <w:rsid w:val="00EC7272"/>
    <w:rsid w:val="00ED3069"/>
    <w:rsid w:val="00ED68BA"/>
    <w:rsid w:val="00EE3EF3"/>
    <w:rsid w:val="00EF1D59"/>
    <w:rsid w:val="00EF2408"/>
    <w:rsid w:val="00EF38FC"/>
    <w:rsid w:val="00EF73C4"/>
    <w:rsid w:val="00F02831"/>
    <w:rsid w:val="00F03570"/>
    <w:rsid w:val="00F03993"/>
    <w:rsid w:val="00F039A4"/>
    <w:rsid w:val="00F03D31"/>
    <w:rsid w:val="00F10A18"/>
    <w:rsid w:val="00F116FF"/>
    <w:rsid w:val="00F12332"/>
    <w:rsid w:val="00F13BD1"/>
    <w:rsid w:val="00F15231"/>
    <w:rsid w:val="00F2031F"/>
    <w:rsid w:val="00F24090"/>
    <w:rsid w:val="00F270F9"/>
    <w:rsid w:val="00F27367"/>
    <w:rsid w:val="00F33EBA"/>
    <w:rsid w:val="00F3571E"/>
    <w:rsid w:val="00F35890"/>
    <w:rsid w:val="00F41F6E"/>
    <w:rsid w:val="00F42640"/>
    <w:rsid w:val="00F469BD"/>
    <w:rsid w:val="00F51513"/>
    <w:rsid w:val="00F55057"/>
    <w:rsid w:val="00F55C4E"/>
    <w:rsid w:val="00F62EFE"/>
    <w:rsid w:val="00F633E3"/>
    <w:rsid w:val="00F665BF"/>
    <w:rsid w:val="00F72319"/>
    <w:rsid w:val="00F72A27"/>
    <w:rsid w:val="00F76144"/>
    <w:rsid w:val="00F872C3"/>
    <w:rsid w:val="00F90117"/>
    <w:rsid w:val="00F92292"/>
    <w:rsid w:val="00F936A9"/>
    <w:rsid w:val="00FA0830"/>
    <w:rsid w:val="00FA1E33"/>
    <w:rsid w:val="00FB106E"/>
    <w:rsid w:val="00FB1608"/>
    <w:rsid w:val="00FB3072"/>
    <w:rsid w:val="00FB3AB6"/>
    <w:rsid w:val="00FC0DBD"/>
    <w:rsid w:val="00FC1364"/>
    <w:rsid w:val="00FC1425"/>
    <w:rsid w:val="00FC6BC9"/>
    <w:rsid w:val="00FC6DF6"/>
    <w:rsid w:val="00FC76DF"/>
    <w:rsid w:val="00FD0535"/>
    <w:rsid w:val="00FD4107"/>
    <w:rsid w:val="00FD58A6"/>
    <w:rsid w:val="00FD5AA2"/>
    <w:rsid w:val="00FD7006"/>
    <w:rsid w:val="00FE41DE"/>
    <w:rsid w:val="00FF09BF"/>
    <w:rsid w:val="00FF363F"/>
    <w:rsid w:val="00FF53B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56E9"/>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paragraph" w:customStyle="1" w:styleId="Default">
    <w:name w:val="Default"/>
    <w:rsid w:val="003256E9"/>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1914">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C9C22-BA44-E141-9A49-44FE1280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146</TotalTime>
  <Pages>14</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80</cp:revision>
  <cp:lastPrinted>2016-09-09T05:09:00Z</cp:lastPrinted>
  <dcterms:created xsi:type="dcterms:W3CDTF">2018-10-02T09:52:00Z</dcterms:created>
  <dcterms:modified xsi:type="dcterms:W3CDTF">2020-10-06T04:54:00Z</dcterms:modified>
</cp:coreProperties>
</file>