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B98810" w14:textId="77777777" w:rsidR="004A0B5F" w:rsidRDefault="004A0B5F" w:rsidP="00D15AA0">
      <w:pPr>
        <w:pStyle w:val="Title"/>
        <w:spacing w:line="276" w:lineRule="auto"/>
      </w:pPr>
      <w:r>
        <w:t>CULTURAL HUMILITY AND CULTURAL SAFETY</w:t>
      </w:r>
    </w:p>
    <w:p w14:paraId="7811CA0A" w14:textId="77777777" w:rsidR="00FA6D6F" w:rsidRDefault="00FA6D6F" w:rsidP="00D15AA0">
      <w:pPr>
        <w:spacing w:line="276" w:lineRule="auto"/>
        <w:jc w:val="center"/>
      </w:pPr>
    </w:p>
    <w:p w14:paraId="6B67DE34" w14:textId="4E2EE4F1" w:rsidR="00DB345F" w:rsidRPr="001565D4" w:rsidRDefault="00DB345F" w:rsidP="00D15AA0">
      <w:pPr>
        <w:spacing w:line="276" w:lineRule="auto"/>
        <w:jc w:val="center"/>
        <w:rPr>
          <w:rFonts w:cstheme="majorHAnsi"/>
        </w:rPr>
      </w:pPr>
      <w:r w:rsidRPr="001565D4">
        <w:rPr>
          <w:rFonts w:cstheme="majorHAnsi"/>
        </w:rPr>
        <w:t>by Simon Moss</w:t>
      </w:r>
    </w:p>
    <w:p w14:paraId="4E8F1D2B" w14:textId="77777777" w:rsidR="00DB345F" w:rsidRPr="001565D4" w:rsidRDefault="00DB345F" w:rsidP="00D15AA0">
      <w:pPr>
        <w:spacing w:line="276" w:lineRule="auto"/>
        <w:jc w:val="center"/>
        <w:rPr>
          <w:rFonts w:cstheme="majorHAnsi"/>
        </w:rPr>
      </w:pPr>
    </w:p>
    <w:p w14:paraId="14925CED" w14:textId="0C556B1D" w:rsidR="0081211C" w:rsidRDefault="0081211C" w:rsidP="00D15AA0">
      <w:pPr>
        <w:spacing w:line="276" w:lineRule="auto"/>
        <w:rPr>
          <w:rStyle w:val="Heading2Char"/>
          <w:rFonts w:cstheme="majorHAnsi"/>
        </w:rPr>
      </w:pPr>
    </w:p>
    <w:p w14:paraId="43FAFA4C" w14:textId="0E610962" w:rsidR="00AC0C50" w:rsidRDefault="00AC0C50" w:rsidP="00D15AA0">
      <w:pPr>
        <w:pStyle w:val="Subhead"/>
        <w:spacing w:line="276" w:lineRule="auto"/>
        <w:rPr>
          <w:rStyle w:val="Heading2Char"/>
          <w:rFonts w:cstheme="majorHAnsi"/>
        </w:rPr>
      </w:pPr>
      <w:r>
        <w:t>CULTURAL HUMILITY</w:t>
      </w:r>
    </w:p>
    <w:p w14:paraId="243AD69A" w14:textId="77777777" w:rsidR="00AC0C50" w:rsidRPr="001565D4" w:rsidRDefault="00AC0C50" w:rsidP="00D15AA0">
      <w:pPr>
        <w:spacing w:line="276" w:lineRule="auto"/>
        <w:rPr>
          <w:rStyle w:val="Heading2Char"/>
          <w:rFonts w:cstheme="majorHAnsi"/>
        </w:rPr>
      </w:pPr>
    </w:p>
    <w:p w14:paraId="3E7A6344" w14:textId="743446F0" w:rsidR="00DB345F" w:rsidRPr="00AC0C50" w:rsidRDefault="00DB345F" w:rsidP="00D15AA0">
      <w:pPr>
        <w:spacing w:line="276" w:lineRule="auto"/>
        <w:rPr>
          <w:rStyle w:val="Heading2Char"/>
          <w:rFonts w:cstheme="majorHAnsi"/>
        </w:rPr>
      </w:pPr>
      <w:r w:rsidRPr="00AC0C50">
        <w:rPr>
          <w:rStyle w:val="Heading2Char"/>
          <w:rFonts w:cstheme="majorHAnsi"/>
        </w:rPr>
        <w:t>Introduction</w:t>
      </w:r>
    </w:p>
    <w:p w14:paraId="53575E1C" w14:textId="273DD8C4" w:rsidR="00AE153D" w:rsidRPr="00AC0C50" w:rsidRDefault="00AE153D" w:rsidP="00D15AA0">
      <w:pPr>
        <w:spacing w:line="276" w:lineRule="auto"/>
        <w:rPr>
          <w:rFonts w:cstheme="majorHAnsi"/>
        </w:rPr>
      </w:pPr>
    </w:p>
    <w:p w14:paraId="1169355A" w14:textId="77777777" w:rsidR="004A0B5F" w:rsidRPr="00AC0C50" w:rsidRDefault="004A0B5F" w:rsidP="00D15AA0">
      <w:pPr>
        <w:spacing w:line="276" w:lineRule="auto"/>
        <w:rPr>
          <w:rFonts w:cstheme="majorHAnsi"/>
          <w:szCs w:val="22"/>
        </w:rPr>
      </w:pPr>
      <w:r w:rsidRPr="00AC0C50">
        <w:rPr>
          <w:rFonts w:cstheme="majorHAnsi"/>
          <w:szCs w:val="22"/>
        </w:rPr>
        <w:t>In the workplace, and in life generally, you will often need to interact with clients or colleagues from diverse communities and cultures.  Academics might need to supervise candidates from diverse ethnic, economic, or religious communities, for example.  Candidates might need to interact with respondents from diverse regions.  Health practitioners, and indeed most employees who offer services, may need to assist clients from diverse communities and cultures. These clients may have developed values, beliefs, or preferences that diverge significantly from your perspectives.  So</w:t>
      </w:r>
    </w:p>
    <w:p w14:paraId="0C308242" w14:textId="77777777" w:rsidR="004A0B5F" w:rsidRPr="00AC0C50" w:rsidRDefault="004A0B5F" w:rsidP="00D15AA0">
      <w:pPr>
        <w:spacing w:line="276" w:lineRule="auto"/>
        <w:rPr>
          <w:rFonts w:cstheme="majorHAnsi"/>
          <w:szCs w:val="22"/>
        </w:rPr>
      </w:pPr>
    </w:p>
    <w:p w14:paraId="3C01D92C" w14:textId="77777777" w:rsidR="004A0B5F" w:rsidRPr="00AC0C50" w:rsidRDefault="004A0B5F" w:rsidP="00D15AA0">
      <w:pPr>
        <w:pStyle w:val="ListParagraph"/>
        <w:numPr>
          <w:ilvl w:val="0"/>
          <w:numId w:val="22"/>
        </w:numPr>
        <w:spacing w:before="0" w:after="0" w:line="276" w:lineRule="auto"/>
        <w:rPr>
          <w:rFonts w:cstheme="majorHAnsi"/>
          <w:szCs w:val="22"/>
        </w:rPr>
      </w:pPr>
      <w:r w:rsidRPr="00AC0C50">
        <w:rPr>
          <w:rFonts w:cstheme="majorHAnsi"/>
          <w:szCs w:val="22"/>
        </w:rPr>
        <w:t xml:space="preserve">how can you accommodate these diverse individuals most effectively?  </w:t>
      </w:r>
    </w:p>
    <w:p w14:paraId="2DF5337E" w14:textId="77777777" w:rsidR="004A0B5F" w:rsidRPr="00AC0C50" w:rsidRDefault="004A0B5F" w:rsidP="00D15AA0">
      <w:pPr>
        <w:pStyle w:val="ListParagraph"/>
        <w:numPr>
          <w:ilvl w:val="0"/>
          <w:numId w:val="22"/>
        </w:numPr>
        <w:spacing w:before="0" w:after="0" w:line="276" w:lineRule="auto"/>
        <w:rPr>
          <w:rFonts w:cstheme="majorHAnsi"/>
          <w:szCs w:val="22"/>
        </w:rPr>
      </w:pPr>
      <w:r w:rsidRPr="00AC0C50">
        <w:rPr>
          <w:rFonts w:cstheme="majorHAnsi"/>
          <w:szCs w:val="22"/>
        </w:rPr>
        <w:t xml:space="preserve">how can you circumvent the complications that such differences can elicit?     </w:t>
      </w:r>
    </w:p>
    <w:p w14:paraId="32C53FB1" w14:textId="77777777" w:rsidR="004A0B5F" w:rsidRPr="00AC0C50" w:rsidRDefault="004A0B5F" w:rsidP="00D15AA0">
      <w:pPr>
        <w:spacing w:line="276" w:lineRule="auto"/>
        <w:rPr>
          <w:rFonts w:cstheme="majorHAnsi"/>
          <w:szCs w:val="22"/>
        </w:rPr>
      </w:pPr>
    </w:p>
    <w:p w14:paraId="6871CC04" w14:textId="77777777" w:rsidR="00D15AA0" w:rsidRDefault="00D15AA0" w:rsidP="00D15AA0">
      <w:pPr>
        <w:spacing w:line="276" w:lineRule="auto"/>
        <w:rPr>
          <w:rFonts w:cstheme="majorHAnsi"/>
          <w:b/>
          <w:szCs w:val="22"/>
        </w:rPr>
      </w:pPr>
    </w:p>
    <w:p w14:paraId="542937C0" w14:textId="6B8F02F8" w:rsidR="004A0B5F" w:rsidRPr="00AC0C50" w:rsidRDefault="004A0B5F" w:rsidP="00D15AA0">
      <w:pPr>
        <w:spacing w:line="276" w:lineRule="auto"/>
        <w:rPr>
          <w:rFonts w:cstheme="majorHAnsi"/>
          <w:szCs w:val="22"/>
        </w:rPr>
      </w:pPr>
      <w:r w:rsidRPr="00AC0C50">
        <w:rPr>
          <w:rFonts w:cstheme="majorHAnsi"/>
          <w:b/>
          <w:szCs w:val="22"/>
        </w:rPr>
        <w:t>Cultural humility</w:t>
      </w:r>
    </w:p>
    <w:p w14:paraId="4C4CA168" w14:textId="77777777" w:rsidR="004A0B5F" w:rsidRPr="00AC0C50" w:rsidRDefault="004A0B5F" w:rsidP="00D15AA0">
      <w:pPr>
        <w:spacing w:line="276" w:lineRule="auto"/>
        <w:rPr>
          <w:rFonts w:cstheme="majorHAnsi"/>
          <w:szCs w:val="22"/>
        </w:rPr>
      </w:pPr>
    </w:p>
    <w:p w14:paraId="32D8F8C3" w14:textId="70ACB341" w:rsidR="004A0B5F" w:rsidRPr="00AC0C50" w:rsidRDefault="004A0B5F" w:rsidP="00D15AA0">
      <w:pPr>
        <w:spacing w:line="276" w:lineRule="auto"/>
        <w:rPr>
          <w:rFonts w:cstheme="majorHAnsi"/>
          <w:szCs w:val="22"/>
        </w:rPr>
      </w:pPr>
      <w:r w:rsidRPr="00AC0C50">
        <w:rPr>
          <w:rFonts w:cstheme="majorHAnsi"/>
          <w:szCs w:val="22"/>
        </w:rPr>
        <w:t>In previous decades, academics and practitioners tended to advocate the concept of cultural competence—knowledge and skills that enable individuals to respond most helpfully to diverse peoples.  In recent years, however, many academics and practitioners have identified complications with the notion of cultural competence and have instead championed an alternative perspective: cultural humility.  Cultural humility was first embraced by mental health practitioners but had since been applied to other health practitioners (Chang, Simon, &amp; Dong, 2012), service employees, teachers (</w:t>
      </w:r>
      <w:proofErr w:type="spellStart"/>
      <w:r w:rsidRPr="00AC0C50">
        <w:rPr>
          <w:rFonts w:cstheme="majorHAnsi"/>
          <w:szCs w:val="22"/>
        </w:rPr>
        <w:t>Cruess</w:t>
      </w:r>
      <w:proofErr w:type="spellEnd"/>
      <w:r w:rsidRPr="00AC0C50">
        <w:rPr>
          <w:rFonts w:cstheme="majorHAnsi"/>
          <w:szCs w:val="22"/>
        </w:rPr>
        <w:t xml:space="preserve">, </w:t>
      </w:r>
      <w:proofErr w:type="spellStart"/>
      <w:r w:rsidRPr="00AC0C50">
        <w:rPr>
          <w:rFonts w:cstheme="majorHAnsi"/>
          <w:szCs w:val="22"/>
        </w:rPr>
        <w:t>Cruess</w:t>
      </w:r>
      <w:proofErr w:type="spellEnd"/>
      <w:r w:rsidRPr="00AC0C50">
        <w:rPr>
          <w:rFonts w:cstheme="majorHAnsi"/>
          <w:szCs w:val="22"/>
        </w:rPr>
        <w:t xml:space="preserve">, &amp; Steinert, 2010), and people in general.  This document outlines the features, benefits, and practice of cultural humility.  </w:t>
      </w:r>
    </w:p>
    <w:p w14:paraId="41BC1F0C" w14:textId="2C65C3D8" w:rsidR="004A0B5F" w:rsidRDefault="004A0B5F" w:rsidP="00D15AA0">
      <w:pPr>
        <w:spacing w:line="276" w:lineRule="auto"/>
        <w:rPr>
          <w:rFonts w:cstheme="majorHAnsi"/>
          <w:szCs w:val="22"/>
        </w:rPr>
      </w:pPr>
    </w:p>
    <w:p w14:paraId="5716F96D" w14:textId="77777777" w:rsidR="00D15AA0" w:rsidRPr="00AC0C50" w:rsidRDefault="00D15AA0" w:rsidP="00D15AA0">
      <w:pPr>
        <w:spacing w:line="276" w:lineRule="auto"/>
        <w:rPr>
          <w:rFonts w:cstheme="majorHAnsi"/>
          <w:szCs w:val="22"/>
        </w:rPr>
      </w:pPr>
    </w:p>
    <w:p w14:paraId="3D2C14FE" w14:textId="5F2E27AB" w:rsidR="004A0B5F" w:rsidRPr="00AC0C50" w:rsidRDefault="004A0B5F" w:rsidP="00D15AA0">
      <w:pPr>
        <w:spacing w:line="276" w:lineRule="auto"/>
        <w:rPr>
          <w:rFonts w:cstheme="majorHAnsi"/>
          <w:szCs w:val="22"/>
        </w:rPr>
      </w:pPr>
    </w:p>
    <w:p w14:paraId="08B4AB55" w14:textId="475577E6" w:rsidR="004A0B5F" w:rsidRPr="00AC0C50" w:rsidRDefault="004A0B5F" w:rsidP="00D15AA0">
      <w:pPr>
        <w:pStyle w:val="Heading2"/>
        <w:spacing w:line="276" w:lineRule="auto"/>
        <w:rPr>
          <w:rFonts w:asciiTheme="majorHAnsi" w:hAnsiTheme="majorHAnsi" w:cstheme="majorHAnsi"/>
        </w:rPr>
      </w:pPr>
      <w:r w:rsidRPr="00AC0C50">
        <w:rPr>
          <w:rFonts w:asciiTheme="majorHAnsi" w:hAnsiTheme="majorHAnsi" w:cstheme="majorHAnsi"/>
        </w:rPr>
        <w:t>Cultural humility versus cultural competence</w:t>
      </w:r>
    </w:p>
    <w:p w14:paraId="34E58BCC" w14:textId="6530D165" w:rsidR="004A0B5F" w:rsidRPr="00AC0C50" w:rsidRDefault="004A0B5F" w:rsidP="00D15AA0">
      <w:pPr>
        <w:spacing w:line="276" w:lineRule="auto"/>
        <w:rPr>
          <w:rFonts w:cstheme="majorHAnsi"/>
          <w:lang w:val="en-AU"/>
        </w:rPr>
      </w:pPr>
    </w:p>
    <w:p w14:paraId="24647FF5" w14:textId="77777777" w:rsidR="004A0B5F" w:rsidRPr="00AC0C50" w:rsidRDefault="004A0B5F" w:rsidP="00D15AA0">
      <w:pPr>
        <w:spacing w:line="276" w:lineRule="auto"/>
        <w:rPr>
          <w:rFonts w:cstheme="majorHAnsi"/>
          <w:szCs w:val="22"/>
        </w:rPr>
      </w:pPr>
      <w:r w:rsidRPr="00AC0C50">
        <w:rPr>
          <w:rFonts w:cstheme="majorHAnsi"/>
          <w:szCs w:val="22"/>
        </w:rPr>
        <w:t xml:space="preserve">To enhance the capacity of service employees—including supervisors and health practitioners—to accommodate diverse cultures, many organizations have introduced a range of initiatives, such as training programs, to promote cultural competence.  These initiatives and programs were designed to impart knowledge and skills about other cultures.  In addition, participants of these programs learn how to adjust their </w:t>
      </w:r>
      <w:proofErr w:type="spellStart"/>
      <w:r w:rsidRPr="00AC0C50">
        <w:rPr>
          <w:rFonts w:cstheme="majorHAnsi"/>
          <w:szCs w:val="22"/>
        </w:rPr>
        <w:t>behaviour</w:t>
      </w:r>
      <w:proofErr w:type="spellEnd"/>
      <w:r w:rsidRPr="00AC0C50">
        <w:rPr>
          <w:rFonts w:cstheme="majorHAnsi"/>
          <w:szCs w:val="22"/>
        </w:rPr>
        <w:t xml:space="preserve"> and foster an atmosphere that accommodates these cultures.  Nevertheless, in </w:t>
      </w:r>
      <w:r w:rsidRPr="00AC0C50">
        <w:rPr>
          <w:rFonts w:cstheme="majorHAnsi"/>
          <w:szCs w:val="22"/>
        </w:rPr>
        <w:lastRenderedPageBreak/>
        <w:t xml:space="preserve">recent decades, this approach gradually attracted many critics (e.g., Fisher-Borne, Cain, &amp; Martin, 2015; Hunt, 2001; </w:t>
      </w:r>
      <w:proofErr w:type="spellStart"/>
      <w:r w:rsidRPr="00AC0C50">
        <w:rPr>
          <w:rFonts w:cstheme="majorHAnsi"/>
          <w:szCs w:val="22"/>
        </w:rPr>
        <w:t>Tervalon</w:t>
      </w:r>
      <w:proofErr w:type="spellEnd"/>
      <w:r w:rsidRPr="00AC0C50">
        <w:rPr>
          <w:rFonts w:cstheme="majorHAnsi"/>
          <w:szCs w:val="22"/>
        </w:rPr>
        <w:t xml:space="preserve"> &amp; Murray-García, 1998; Yeager &amp; Bauer-Wu, 2013).  To illustrate</w:t>
      </w:r>
    </w:p>
    <w:p w14:paraId="3E8DAE99" w14:textId="77777777" w:rsidR="004A0B5F" w:rsidRPr="00AC0C50" w:rsidRDefault="004A0B5F" w:rsidP="00D15AA0">
      <w:pPr>
        <w:spacing w:line="276" w:lineRule="auto"/>
        <w:rPr>
          <w:rFonts w:cstheme="majorHAnsi"/>
          <w:szCs w:val="22"/>
        </w:rPr>
      </w:pPr>
    </w:p>
    <w:p w14:paraId="5C700031" w14:textId="77777777" w:rsidR="004A0B5F" w:rsidRPr="00AC0C50" w:rsidRDefault="004A0B5F" w:rsidP="00D15AA0">
      <w:pPr>
        <w:pStyle w:val="ListParagraph"/>
        <w:numPr>
          <w:ilvl w:val="0"/>
          <w:numId w:val="24"/>
        </w:numPr>
        <w:spacing w:before="0" w:after="0" w:line="276" w:lineRule="auto"/>
        <w:rPr>
          <w:rFonts w:cstheme="majorHAnsi"/>
          <w:szCs w:val="22"/>
        </w:rPr>
      </w:pPr>
      <w:r w:rsidRPr="00AC0C50">
        <w:rPr>
          <w:rFonts w:cstheme="majorHAnsi"/>
          <w:szCs w:val="22"/>
        </w:rPr>
        <w:t>the first column in the following table outlines the concerns these critics raised</w:t>
      </w:r>
    </w:p>
    <w:p w14:paraId="4FC4451F" w14:textId="77777777" w:rsidR="004A0B5F" w:rsidRPr="00AC0C50" w:rsidRDefault="004A0B5F" w:rsidP="00D15AA0">
      <w:pPr>
        <w:pStyle w:val="ListParagraph"/>
        <w:numPr>
          <w:ilvl w:val="0"/>
          <w:numId w:val="24"/>
        </w:numPr>
        <w:spacing w:before="0" w:after="0" w:line="276" w:lineRule="auto"/>
        <w:rPr>
          <w:rFonts w:cstheme="majorHAnsi"/>
          <w:szCs w:val="22"/>
        </w:rPr>
      </w:pPr>
      <w:r w:rsidRPr="00AC0C50">
        <w:rPr>
          <w:rFonts w:cstheme="majorHAnsi"/>
          <w:szCs w:val="22"/>
        </w:rPr>
        <w:t>the second column clarifies these concerns</w:t>
      </w:r>
    </w:p>
    <w:p w14:paraId="379C90A0" w14:textId="77777777" w:rsidR="004A0B5F" w:rsidRPr="00AC0C50" w:rsidRDefault="004A0B5F" w:rsidP="00D15AA0">
      <w:pPr>
        <w:pStyle w:val="ListParagraph"/>
        <w:numPr>
          <w:ilvl w:val="0"/>
          <w:numId w:val="24"/>
        </w:numPr>
        <w:spacing w:before="0" w:after="0" w:line="276" w:lineRule="auto"/>
        <w:rPr>
          <w:rFonts w:cstheme="majorHAnsi"/>
          <w:szCs w:val="22"/>
        </w:rPr>
      </w:pPr>
      <w:r w:rsidRPr="00AC0C50">
        <w:rPr>
          <w:rFonts w:cstheme="majorHAnsi"/>
          <w:szCs w:val="22"/>
        </w:rPr>
        <w:t>the third column presents some practices that could address these concerns</w:t>
      </w:r>
    </w:p>
    <w:p w14:paraId="0C652637" w14:textId="3EE7E866" w:rsidR="004A0B5F" w:rsidRDefault="004A0B5F" w:rsidP="00D15AA0">
      <w:pPr>
        <w:spacing w:line="276" w:lineRule="auto"/>
        <w:rPr>
          <w:rFonts w:cstheme="majorHAnsi"/>
          <w:szCs w:val="22"/>
        </w:rPr>
      </w:pPr>
    </w:p>
    <w:p w14:paraId="61CB7801" w14:textId="77777777" w:rsidR="00AC0C50" w:rsidRPr="00AC0C50" w:rsidRDefault="00AC0C50" w:rsidP="00D15AA0">
      <w:pPr>
        <w:spacing w:line="276" w:lineRule="auto"/>
        <w:rPr>
          <w:rFonts w:cstheme="maj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2097"/>
        <w:gridCol w:w="3543"/>
        <w:gridCol w:w="3320"/>
      </w:tblGrid>
      <w:tr w:rsidR="004A0B5F" w:rsidRPr="00AC0C50" w14:paraId="5998496B" w14:textId="77777777" w:rsidTr="00E6619C">
        <w:tc>
          <w:tcPr>
            <w:tcW w:w="2097" w:type="dxa"/>
            <w:shd w:val="clear" w:color="auto" w:fill="C6EBD6" w:themeFill="accent5" w:themeFillTint="66"/>
          </w:tcPr>
          <w:p w14:paraId="1F77C886" w14:textId="77777777" w:rsidR="004A0B5F" w:rsidRPr="00AC0C50" w:rsidRDefault="004A0B5F" w:rsidP="00D15AA0">
            <w:pPr>
              <w:spacing w:line="276" w:lineRule="auto"/>
              <w:jc w:val="center"/>
              <w:rPr>
                <w:rFonts w:cstheme="majorHAnsi"/>
              </w:rPr>
            </w:pPr>
            <w:r w:rsidRPr="00AC0C50">
              <w:rPr>
                <w:rFonts w:cstheme="majorHAnsi"/>
              </w:rPr>
              <w:t>Concerns about culture competence</w:t>
            </w:r>
          </w:p>
        </w:tc>
        <w:tc>
          <w:tcPr>
            <w:tcW w:w="3543" w:type="dxa"/>
            <w:shd w:val="clear" w:color="auto" w:fill="C6EBD6" w:themeFill="accent5" w:themeFillTint="66"/>
          </w:tcPr>
          <w:p w14:paraId="51548D87" w14:textId="77777777" w:rsidR="004A0B5F" w:rsidRPr="00AC0C50" w:rsidRDefault="004A0B5F" w:rsidP="00D15AA0">
            <w:pPr>
              <w:spacing w:line="276" w:lineRule="auto"/>
              <w:jc w:val="center"/>
              <w:rPr>
                <w:rFonts w:cstheme="majorHAnsi"/>
              </w:rPr>
            </w:pPr>
            <w:r w:rsidRPr="00AC0C50">
              <w:rPr>
                <w:rFonts w:cstheme="majorHAnsi"/>
              </w:rPr>
              <w:t>Details</w:t>
            </w:r>
          </w:p>
        </w:tc>
        <w:tc>
          <w:tcPr>
            <w:tcW w:w="3320" w:type="dxa"/>
            <w:shd w:val="clear" w:color="auto" w:fill="C6EBD6" w:themeFill="accent5" w:themeFillTint="66"/>
          </w:tcPr>
          <w:p w14:paraId="33C64D82" w14:textId="77777777" w:rsidR="004A0B5F" w:rsidRPr="00AC0C50" w:rsidRDefault="004A0B5F" w:rsidP="00D15AA0">
            <w:pPr>
              <w:spacing w:line="276" w:lineRule="auto"/>
              <w:jc w:val="center"/>
              <w:rPr>
                <w:rFonts w:cstheme="majorHAnsi"/>
              </w:rPr>
            </w:pPr>
            <w:r w:rsidRPr="00AC0C50">
              <w:rPr>
                <w:rFonts w:cstheme="majorHAnsi"/>
              </w:rPr>
              <w:t>Practices that address these concerns</w:t>
            </w:r>
          </w:p>
        </w:tc>
      </w:tr>
      <w:tr w:rsidR="004A0B5F" w:rsidRPr="00AC0C50" w14:paraId="4DD292F9" w14:textId="77777777" w:rsidTr="00E6619C">
        <w:tc>
          <w:tcPr>
            <w:tcW w:w="2097" w:type="dxa"/>
            <w:shd w:val="clear" w:color="auto" w:fill="D9D9D9" w:themeFill="background1" w:themeFillShade="D9"/>
          </w:tcPr>
          <w:p w14:paraId="42457BDE" w14:textId="77777777" w:rsidR="004A0B5F" w:rsidRPr="00AC0C50" w:rsidRDefault="004A0B5F" w:rsidP="00D15AA0">
            <w:pPr>
              <w:spacing w:line="276" w:lineRule="auto"/>
              <w:rPr>
                <w:rFonts w:cstheme="majorHAnsi"/>
              </w:rPr>
            </w:pPr>
            <w:r w:rsidRPr="00AC0C50">
              <w:rPr>
                <w:rFonts w:cstheme="majorHAnsi"/>
              </w:rPr>
              <w:t xml:space="preserve">The notion that you can be competent about a culture may erroneously imply that cultures are relatively homogenous  </w:t>
            </w:r>
          </w:p>
        </w:tc>
        <w:tc>
          <w:tcPr>
            <w:tcW w:w="3543" w:type="dxa"/>
            <w:shd w:val="clear" w:color="auto" w:fill="D9D9D9" w:themeFill="background1" w:themeFillShade="D9"/>
          </w:tcPr>
          <w:p w14:paraId="7EADBFFF" w14:textId="77777777" w:rsidR="004A0B5F" w:rsidRPr="00AC0C50" w:rsidRDefault="004A0B5F" w:rsidP="00D15AA0">
            <w:pPr>
              <w:pStyle w:val="ListParagraph"/>
              <w:numPr>
                <w:ilvl w:val="0"/>
                <w:numId w:val="23"/>
              </w:numPr>
              <w:spacing w:before="0" w:after="0" w:line="276" w:lineRule="auto"/>
              <w:rPr>
                <w:rFonts w:cstheme="majorHAnsi"/>
              </w:rPr>
            </w:pPr>
            <w:r w:rsidRPr="00AC0C50">
              <w:rPr>
                <w:rFonts w:cstheme="majorHAnsi"/>
              </w:rPr>
              <w:t>Each person is shaped by their culture uniquely</w:t>
            </w:r>
          </w:p>
          <w:p w14:paraId="6AAB9D5C" w14:textId="77777777" w:rsidR="004A0B5F" w:rsidRPr="00AC0C50" w:rsidRDefault="004A0B5F" w:rsidP="00D15AA0">
            <w:pPr>
              <w:pStyle w:val="ListParagraph"/>
              <w:numPr>
                <w:ilvl w:val="0"/>
                <w:numId w:val="23"/>
              </w:numPr>
              <w:spacing w:before="0" w:after="0" w:line="276" w:lineRule="auto"/>
              <w:rPr>
                <w:rFonts w:cstheme="majorHAnsi"/>
              </w:rPr>
            </w:pPr>
            <w:r w:rsidRPr="00AC0C50">
              <w:rPr>
                <w:rFonts w:cstheme="majorHAnsi"/>
              </w:rPr>
              <w:t xml:space="preserve">Even the extent to which they reject or embrace the norms of a culture varies across individuals and is thus </w:t>
            </w:r>
            <w:r w:rsidRPr="00AC0C50">
              <w:rPr>
                <w:rFonts w:cstheme="majorHAnsi"/>
                <w:b/>
              </w:rPr>
              <w:t>heterogenous</w:t>
            </w:r>
          </w:p>
        </w:tc>
        <w:tc>
          <w:tcPr>
            <w:tcW w:w="3320" w:type="dxa"/>
            <w:shd w:val="clear" w:color="auto" w:fill="D9D9D9" w:themeFill="background1" w:themeFillShade="D9"/>
          </w:tcPr>
          <w:p w14:paraId="54C0B8D9" w14:textId="77777777" w:rsidR="004A0B5F" w:rsidRPr="00AC0C50" w:rsidRDefault="004A0B5F" w:rsidP="00D15AA0">
            <w:pPr>
              <w:pStyle w:val="ListParagraph"/>
              <w:numPr>
                <w:ilvl w:val="0"/>
                <w:numId w:val="23"/>
              </w:numPr>
              <w:spacing w:before="0" w:after="0" w:line="276" w:lineRule="auto"/>
              <w:rPr>
                <w:rFonts w:cstheme="majorHAnsi"/>
              </w:rPr>
            </w:pPr>
            <w:r w:rsidRPr="00AC0C50">
              <w:rPr>
                <w:rFonts w:cstheme="majorHAnsi"/>
              </w:rPr>
              <w:t>When interacting with clients from a specific culture, do not assume they share the values, beliefs, or preferences that you believe typifies this culture</w:t>
            </w:r>
          </w:p>
          <w:p w14:paraId="0080424A" w14:textId="77777777" w:rsidR="004A0B5F" w:rsidRPr="00AC0C50" w:rsidRDefault="004A0B5F" w:rsidP="00D15AA0">
            <w:pPr>
              <w:pStyle w:val="ListParagraph"/>
              <w:numPr>
                <w:ilvl w:val="0"/>
                <w:numId w:val="23"/>
              </w:numPr>
              <w:spacing w:before="0" w:after="0" w:line="276" w:lineRule="auto"/>
              <w:rPr>
                <w:rFonts w:cstheme="majorHAnsi"/>
              </w:rPr>
            </w:pPr>
            <w:r w:rsidRPr="00AC0C50">
              <w:rPr>
                <w:rFonts w:cstheme="majorHAnsi"/>
              </w:rPr>
              <w:t>Ask questions about their values, beliefs, and preferences if applicable</w:t>
            </w:r>
          </w:p>
          <w:p w14:paraId="537BC21C" w14:textId="77777777" w:rsidR="004A0B5F" w:rsidRPr="00AC0C50" w:rsidRDefault="004A0B5F" w:rsidP="00D15AA0">
            <w:pPr>
              <w:pStyle w:val="ListParagraph"/>
              <w:numPr>
                <w:ilvl w:val="0"/>
                <w:numId w:val="23"/>
              </w:numPr>
              <w:spacing w:before="0" w:after="0" w:line="276" w:lineRule="auto"/>
              <w:rPr>
                <w:rFonts w:cstheme="majorHAnsi"/>
              </w:rPr>
            </w:pPr>
            <w:r w:rsidRPr="00AC0C50">
              <w:rPr>
                <w:rFonts w:cstheme="majorHAnsi"/>
              </w:rPr>
              <w:t>Ask these individuals the extent to which they share the values, beliefs, and preferences of their culture</w:t>
            </w:r>
          </w:p>
        </w:tc>
      </w:tr>
      <w:tr w:rsidR="004A0B5F" w:rsidRPr="00AC0C50" w14:paraId="3FF7E7CB" w14:textId="77777777" w:rsidTr="00E6619C">
        <w:tc>
          <w:tcPr>
            <w:tcW w:w="2097" w:type="dxa"/>
            <w:shd w:val="clear" w:color="auto" w:fill="D9D9D9" w:themeFill="background1" w:themeFillShade="D9"/>
          </w:tcPr>
          <w:p w14:paraId="225D47DB" w14:textId="77777777" w:rsidR="004A0B5F" w:rsidRPr="00AC0C50" w:rsidRDefault="004A0B5F" w:rsidP="00D15AA0">
            <w:pPr>
              <w:spacing w:line="276" w:lineRule="auto"/>
              <w:rPr>
                <w:rFonts w:cstheme="majorHAnsi"/>
              </w:rPr>
            </w:pPr>
            <w:r w:rsidRPr="00AC0C50">
              <w:rPr>
                <w:rFonts w:cstheme="majorHAnsi"/>
              </w:rPr>
              <w:t>The notion that you can be competent about a culture may erroneously imply that cultures do not change appreciably over time</w:t>
            </w:r>
          </w:p>
        </w:tc>
        <w:tc>
          <w:tcPr>
            <w:tcW w:w="3543" w:type="dxa"/>
            <w:shd w:val="clear" w:color="auto" w:fill="D9D9D9" w:themeFill="background1" w:themeFillShade="D9"/>
          </w:tcPr>
          <w:p w14:paraId="6F9A5786" w14:textId="77777777" w:rsidR="004A0B5F" w:rsidRPr="00AC0C50" w:rsidRDefault="004A0B5F" w:rsidP="00D15AA0">
            <w:pPr>
              <w:pStyle w:val="ListParagraph"/>
              <w:numPr>
                <w:ilvl w:val="0"/>
                <w:numId w:val="23"/>
              </w:numPr>
              <w:spacing w:before="0" w:after="0" w:line="276" w:lineRule="auto"/>
              <w:rPr>
                <w:rFonts w:cstheme="majorHAnsi"/>
              </w:rPr>
            </w:pPr>
            <w:r w:rsidRPr="00AC0C50">
              <w:rPr>
                <w:rFonts w:cstheme="majorHAnsi"/>
              </w:rPr>
              <w:t xml:space="preserve">Most cultures—that is, the values, beliefs, and perspectives of communities—are </w:t>
            </w:r>
            <w:r w:rsidRPr="00AC0C50">
              <w:rPr>
                <w:rFonts w:cstheme="majorHAnsi"/>
                <w:b/>
              </w:rPr>
              <w:t>dynamic</w:t>
            </w:r>
          </w:p>
          <w:p w14:paraId="0F1CAE03" w14:textId="77777777" w:rsidR="004A0B5F" w:rsidRPr="00AC0C50" w:rsidRDefault="004A0B5F" w:rsidP="00D15AA0">
            <w:pPr>
              <w:pStyle w:val="ListParagraph"/>
              <w:numPr>
                <w:ilvl w:val="0"/>
                <w:numId w:val="23"/>
              </w:numPr>
              <w:spacing w:before="0" w:after="0" w:line="276" w:lineRule="auto"/>
              <w:rPr>
                <w:rFonts w:cstheme="majorHAnsi"/>
              </w:rPr>
            </w:pPr>
            <w:r w:rsidRPr="00AC0C50">
              <w:rPr>
                <w:rFonts w:cstheme="majorHAnsi"/>
              </w:rPr>
              <w:t>They shift continually over time as a consequence of many historical, social, economic, and political events</w:t>
            </w:r>
          </w:p>
        </w:tc>
        <w:tc>
          <w:tcPr>
            <w:tcW w:w="3320" w:type="dxa"/>
            <w:shd w:val="clear" w:color="auto" w:fill="D9D9D9" w:themeFill="background1" w:themeFillShade="D9"/>
          </w:tcPr>
          <w:p w14:paraId="5A4C6628" w14:textId="77777777" w:rsidR="004A0B5F" w:rsidRPr="00AC0C50" w:rsidRDefault="004A0B5F" w:rsidP="00D15AA0">
            <w:pPr>
              <w:pStyle w:val="ListParagraph"/>
              <w:numPr>
                <w:ilvl w:val="0"/>
                <w:numId w:val="23"/>
              </w:numPr>
              <w:spacing w:before="0" w:after="0" w:line="276" w:lineRule="auto"/>
              <w:rPr>
                <w:rFonts w:cstheme="majorHAnsi"/>
              </w:rPr>
            </w:pPr>
            <w:r w:rsidRPr="00AC0C50">
              <w:rPr>
                <w:rFonts w:cstheme="majorHAnsi"/>
              </w:rPr>
              <w:t xml:space="preserve">When interacting with clients, do not assume your previous knowledge about a culture is still relevant now </w:t>
            </w:r>
          </w:p>
        </w:tc>
      </w:tr>
      <w:tr w:rsidR="004A0B5F" w:rsidRPr="00AC0C50" w14:paraId="3635D60C" w14:textId="77777777" w:rsidTr="00E6619C">
        <w:tc>
          <w:tcPr>
            <w:tcW w:w="2097" w:type="dxa"/>
            <w:shd w:val="clear" w:color="auto" w:fill="D9D9D9" w:themeFill="background1" w:themeFillShade="D9"/>
          </w:tcPr>
          <w:p w14:paraId="248439BA" w14:textId="77777777" w:rsidR="004A0B5F" w:rsidRPr="00AC0C50" w:rsidRDefault="004A0B5F" w:rsidP="00D15AA0">
            <w:pPr>
              <w:spacing w:line="276" w:lineRule="auto"/>
              <w:rPr>
                <w:rFonts w:cstheme="majorHAnsi"/>
              </w:rPr>
            </w:pPr>
            <w:r w:rsidRPr="00AC0C50">
              <w:rPr>
                <w:rFonts w:cstheme="majorHAnsi"/>
              </w:rPr>
              <w:t>The notion that you can be competent about a culture may erroneously imply that people tend to belong to only one culture or community</w:t>
            </w:r>
          </w:p>
        </w:tc>
        <w:tc>
          <w:tcPr>
            <w:tcW w:w="3543" w:type="dxa"/>
            <w:shd w:val="clear" w:color="auto" w:fill="D9D9D9" w:themeFill="background1" w:themeFillShade="D9"/>
          </w:tcPr>
          <w:p w14:paraId="7FA76C62" w14:textId="77777777" w:rsidR="004A0B5F" w:rsidRPr="00AC0C50" w:rsidRDefault="004A0B5F" w:rsidP="00D15AA0">
            <w:pPr>
              <w:pStyle w:val="ListParagraph"/>
              <w:numPr>
                <w:ilvl w:val="0"/>
                <w:numId w:val="23"/>
              </w:numPr>
              <w:spacing w:before="0" w:after="0" w:line="276" w:lineRule="auto"/>
              <w:rPr>
                <w:rFonts w:cstheme="majorHAnsi"/>
              </w:rPr>
            </w:pPr>
            <w:r w:rsidRPr="00AC0C50">
              <w:rPr>
                <w:rFonts w:cstheme="majorHAnsi"/>
              </w:rPr>
              <w:t>Each person belongs to a dynamic blend of many ethnic, occupational, religious, and other communities</w:t>
            </w:r>
          </w:p>
          <w:p w14:paraId="54F5E74F" w14:textId="77777777" w:rsidR="004A0B5F" w:rsidRPr="00AC0C50" w:rsidRDefault="004A0B5F" w:rsidP="00D15AA0">
            <w:pPr>
              <w:pStyle w:val="ListParagraph"/>
              <w:numPr>
                <w:ilvl w:val="0"/>
                <w:numId w:val="23"/>
              </w:numPr>
              <w:spacing w:before="0" w:after="0" w:line="276" w:lineRule="auto"/>
              <w:rPr>
                <w:rFonts w:cstheme="majorHAnsi"/>
              </w:rPr>
            </w:pPr>
            <w:r w:rsidRPr="00AC0C50">
              <w:rPr>
                <w:rFonts w:cstheme="majorHAnsi"/>
              </w:rPr>
              <w:t xml:space="preserve">Therefore, no practitioner can understand the culture of a person, because culture is </w:t>
            </w:r>
            <w:r w:rsidRPr="00AC0C50">
              <w:rPr>
                <w:rFonts w:cstheme="majorHAnsi"/>
                <w:b/>
              </w:rPr>
              <w:t>multidimensional</w:t>
            </w:r>
            <w:r w:rsidRPr="00AC0C50">
              <w:rPr>
                <w:rFonts w:cstheme="majorHAnsi"/>
              </w:rPr>
              <w:t>—and cannot be reduced to ethnicity for example</w:t>
            </w:r>
          </w:p>
        </w:tc>
        <w:tc>
          <w:tcPr>
            <w:tcW w:w="3320" w:type="dxa"/>
            <w:shd w:val="clear" w:color="auto" w:fill="D9D9D9" w:themeFill="background1" w:themeFillShade="D9"/>
          </w:tcPr>
          <w:p w14:paraId="78B79757" w14:textId="77777777" w:rsidR="004A0B5F" w:rsidRPr="00AC0C50" w:rsidRDefault="004A0B5F" w:rsidP="00D15AA0">
            <w:pPr>
              <w:pStyle w:val="ListParagraph"/>
              <w:numPr>
                <w:ilvl w:val="0"/>
                <w:numId w:val="23"/>
              </w:numPr>
              <w:spacing w:before="0" w:after="0" w:line="276" w:lineRule="auto"/>
              <w:rPr>
                <w:rFonts w:cstheme="majorHAnsi"/>
              </w:rPr>
            </w:pPr>
            <w:r w:rsidRPr="00AC0C50">
              <w:rPr>
                <w:rFonts w:cstheme="majorHAnsi"/>
              </w:rPr>
              <w:t xml:space="preserve">When interacting with clients, ask these individuals to specify the groups, communities, or cultures to which they identify most closely; that is, which groups, communities, or cultures most affect their values and behaviors. </w:t>
            </w:r>
          </w:p>
        </w:tc>
      </w:tr>
      <w:tr w:rsidR="004A0B5F" w:rsidRPr="00AC0C50" w14:paraId="2F9141D8" w14:textId="77777777" w:rsidTr="00E6619C">
        <w:tc>
          <w:tcPr>
            <w:tcW w:w="2097" w:type="dxa"/>
            <w:shd w:val="clear" w:color="auto" w:fill="D9D9D9" w:themeFill="background1" w:themeFillShade="D9"/>
          </w:tcPr>
          <w:p w14:paraId="4A61647F" w14:textId="77777777" w:rsidR="004A0B5F" w:rsidRPr="00AC0C50" w:rsidRDefault="004A0B5F" w:rsidP="00D15AA0">
            <w:pPr>
              <w:spacing w:line="276" w:lineRule="auto"/>
              <w:rPr>
                <w:rFonts w:cstheme="majorHAnsi"/>
              </w:rPr>
            </w:pPr>
            <w:r w:rsidRPr="00AC0C50">
              <w:rPr>
                <w:rFonts w:cstheme="majorHAnsi"/>
              </w:rPr>
              <w:lastRenderedPageBreak/>
              <w:t>The pursuit of competence may diminish the inclination of individuals to concede their incompetence</w:t>
            </w:r>
          </w:p>
        </w:tc>
        <w:tc>
          <w:tcPr>
            <w:tcW w:w="3543" w:type="dxa"/>
            <w:shd w:val="clear" w:color="auto" w:fill="D9D9D9" w:themeFill="background1" w:themeFillShade="D9"/>
          </w:tcPr>
          <w:p w14:paraId="155949AF" w14:textId="77777777" w:rsidR="004A0B5F" w:rsidRPr="00AC0C50" w:rsidRDefault="004A0B5F" w:rsidP="00D15AA0">
            <w:pPr>
              <w:pStyle w:val="ListParagraph"/>
              <w:numPr>
                <w:ilvl w:val="0"/>
                <w:numId w:val="23"/>
              </w:numPr>
              <w:spacing w:before="0" w:after="0" w:line="276" w:lineRule="auto"/>
              <w:rPr>
                <w:rFonts w:cstheme="majorHAnsi"/>
              </w:rPr>
            </w:pPr>
            <w:r w:rsidRPr="00AC0C50">
              <w:rPr>
                <w:rFonts w:cstheme="majorHAnsi"/>
              </w:rPr>
              <w:t>People who strive to pursue cultural competence may be reluctant to ask members of other cultures about their perspectives</w:t>
            </w:r>
          </w:p>
          <w:p w14:paraId="1D6C877B" w14:textId="77777777" w:rsidR="004A0B5F" w:rsidRPr="00AC0C50" w:rsidRDefault="004A0B5F" w:rsidP="00D15AA0">
            <w:pPr>
              <w:pStyle w:val="ListParagraph"/>
              <w:numPr>
                <w:ilvl w:val="0"/>
                <w:numId w:val="23"/>
              </w:numPr>
              <w:spacing w:before="0" w:after="0" w:line="276" w:lineRule="auto"/>
              <w:rPr>
                <w:rFonts w:cstheme="majorHAnsi"/>
              </w:rPr>
            </w:pPr>
            <w:r w:rsidRPr="00AC0C50">
              <w:rPr>
                <w:rFonts w:cstheme="majorHAnsi"/>
              </w:rPr>
              <w:t xml:space="preserve">That is, these individuals may not acknowledge </w:t>
            </w:r>
            <w:proofErr w:type="gramStart"/>
            <w:r w:rsidRPr="00AC0C50">
              <w:rPr>
                <w:rFonts w:cstheme="majorHAnsi"/>
              </w:rPr>
              <w:t>limitations  in</w:t>
            </w:r>
            <w:proofErr w:type="gramEnd"/>
            <w:r w:rsidRPr="00AC0C50">
              <w:rPr>
                <w:rFonts w:cstheme="majorHAnsi"/>
              </w:rPr>
              <w:t xml:space="preserve"> their knowledge</w:t>
            </w:r>
          </w:p>
          <w:p w14:paraId="67964968" w14:textId="77777777" w:rsidR="004A0B5F" w:rsidRPr="00AC0C50" w:rsidRDefault="004A0B5F" w:rsidP="00D15AA0">
            <w:pPr>
              <w:pStyle w:val="ListParagraph"/>
              <w:numPr>
                <w:ilvl w:val="0"/>
                <w:numId w:val="23"/>
              </w:numPr>
              <w:spacing w:before="0" w:after="0" w:line="276" w:lineRule="auto"/>
              <w:rPr>
                <w:rFonts w:cstheme="majorHAnsi"/>
              </w:rPr>
            </w:pPr>
            <w:r w:rsidRPr="00AC0C50">
              <w:rPr>
                <w:rFonts w:cstheme="majorHAnsi"/>
              </w:rPr>
              <w:t>Hence, the pursuit of cultural competence could actually increase the likelihood of misconceptions</w:t>
            </w:r>
          </w:p>
        </w:tc>
        <w:tc>
          <w:tcPr>
            <w:tcW w:w="3320" w:type="dxa"/>
            <w:shd w:val="clear" w:color="auto" w:fill="D9D9D9" w:themeFill="background1" w:themeFillShade="D9"/>
          </w:tcPr>
          <w:p w14:paraId="0B8AFED0" w14:textId="77777777" w:rsidR="004A0B5F" w:rsidRPr="00AC0C50" w:rsidRDefault="004A0B5F" w:rsidP="00D15AA0">
            <w:pPr>
              <w:pStyle w:val="ListParagraph"/>
              <w:numPr>
                <w:ilvl w:val="0"/>
                <w:numId w:val="23"/>
              </w:numPr>
              <w:spacing w:before="0" w:after="0" w:line="276" w:lineRule="auto"/>
              <w:rPr>
                <w:rFonts w:cstheme="majorHAnsi"/>
              </w:rPr>
            </w:pPr>
            <w:r w:rsidRPr="00AC0C50">
              <w:rPr>
                <w:rFonts w:cstheme="majorHAnsi"/>
              </w:rPr>
              <w:t>Ask questions about the cultural practices, beliefs, and values of the client</w:t>
            </w:r>
          </w:p>
          <w:p w14:paraId="6E5E37D8" w14:textId="77777777" w:rsidR="004A0B5F" w:rsidRPr="00AC0C50" w:rsidRDefault="004A0B5F" w:rsidP="00D15AA0">
            <w:pPr>
              <w:pStyle w:val="ListParagraph"/>
              <w:numPr>
                <w:ilvl w:val="0"/>
                <w:numId w:val="23"/>
              </w:numPr>
              <w:spacing w:before="0" w:after="0" w:line="276" w:lineRule="auto"/>
              <w:rPr>
                <w:rFonts w:cstheme="majorHAnsi"/>
              </w:rPr>
            </w:pPr>
            <w:r w:rsidRPr="00AC0C50">
              <w:rPr>
                <w:rFonts w:cstheme="majorHAnsi"/>
              </w:rPr>
              <w:t>That is, at times, assume the role of a learner rather than expert</w:t>
            </w:r>
          </w:p>
        </w:tc>
      </w:tr>
      <w:tr w:rsidR="004A0B5F" w:rsidRPr="00AC0C50" w14:paraId="5B48045C" w14:textId="77777777" w:rsidTr="00E6619C">
        <w:tc>
          <w:tcPr>
            <w:tcW w:w="2097" w:type="dxa"/>
            <w:shd w:val="clear" w:color="auto" w:fill="D9D9D9" w:themeFill="background1" w:themeFillShade="D9"/>
          </w:tcPr>
          <w:p w14:paraId="7297D65B" w14:textId="77777777" w:rsidR="004A0B5F" w:rsidRPr="00AC0C50" w:rsidRDefault="004A0B5F" w:rsidP="00D15AA0">
            <w:pPr>
              <w:spacing w:line="276" w:lineRule="auto"/>
              <w:rPr>
                <w:rFonts w:cstheme="majorHAnsi"/>
              </w:rPr>
            </w:pPr>
            <w:r w:rsidRPr="00AC0C50">
              <w:rPr>
                <w:rFonts w:cstheme="majorHAnsi"/>
              </w:rPr>
              <w:t xml:space="preserve">The notion of cultural competence might imply your goal is to obtain knowledge about a culture rather than adopt a specific mindset </w:t>
            </w:r>
          </w:p>
        </w:tc>
        <w:tc>
          <w:tcPr>
            <w:tcW w:w="3543" w:type="dxa"/>
            <w:shd w:val="clear" w:color="auto" w:fill="D9D9D9" w:themeFill="background1" w:themeFillShade="D9"/>
          </w:tcPr>
          <w:p w14:paraId="4607478F" w14:textId="77777777" w:rsidR="004A0B5F" w:rsidRPr="00AC0C50" w:rsidRDefault="004A0B5F" w:rsidP="00D15AA0">
            <w:pPr>
              <w:pStyle w:val="ListParagraph"/>
              <w:numPr>
                <w:ilvl w:val="0"/>
                <w:numId w:val="23"/>
              </w:numPr>
              <w:spacing w:before="0" w:after="0" w:line="276" w:lineRule="auto"/>
              <w:rPr>
                <w:rFonts w:cstheme="majorHAnsi"/>
              </w:rPr>
            </w:pPr>
            <w:r w:rsidRPr="00AC0C50">
              <w:rPr>
                <w:rFonts w:cstheme="majorHAnsi"/>
              </w:rPr>
              <w:t>The knowledge that you acquire before an interaction does not guarantee a productive interaction</w:t>
            </w:r>
          </w:p>
          <w:p w14:paraId="2051255F" w14:textId="77777777" w:rsidR="004A0B5F" w:rsidRPr="00AC0C50" w:rsidRDefault="004A0B5F" w:rsidP="00D15AA0">
            <w:pPr>
              <w:spacing w:line="276" w:lineRule="auto"/>
              <w:rPr>
                <w:rFonts w:cstheme="majorHAnsi"/>
              </w:rPr>
            </w:pPr>
          </w:p>
        </w:tc>
        <w:tc>
          <w:tcPr>
            <w:tcW w:w="3320" w:type="dxa"/>
            <w:shd w:val="clear" w:color="auto" w:fill="D9D9D9" w:themeFill="background1" w:themeFillShade="D9"/>
          </w:tcPr>
          <w:p w14:paraId="641380FB" w14:textId="77777777" w:rsidR="004A0B5F" w:rsidRPr="00AC0C50" w:rsidRDefault="004A0B5F" w:rsidP="00D15AA0">
            <w:pPr>
              <w:pStyle w:val="ListParagraph"/>
              <w:numPr>
                <w:ilvl w:val="0"/>
                <w:numId w:val="23"/>
              </w:numPr>
              <w:spacing w:before="0" w:after="0" w:line="276" w:lineRule="auto"/>
              <w:rPr>
                <w:rFonts w:cstheme="majorHAnsi"/>
              </w:rPr>
            </w:pPr>
            <w:r w:rsidRPr="00AC0C50">
              <w:rPr>
                <w:rFonts w:cstheme="majorHAnsi"/>
              </w:rPr>
              <w:t>Adopt a mindset in which you embrace discussions or information about cultures—including information that deviates from your preconceptions or preferences</w:t>
            </w:r>
          </w:p>
        </w:tc>
      </w:tr>
    </w:tbl>
    <w:p w14:paraId="74DC1BD4" w14:textId="77777777" w:rsidR="004A0B5F" w:rsidRPr="00AC0C50" w:rsidRDefault="004A0B5F" w:rsidP="00D15AA0">
      <w:pPr>
        <w:spacing w:line="276" w:lineRule="auto"/>
        <w:rPr>
          <w:rFonts w:cstheme="majorHAnsi"/>
          <w:szCs w:val="22"/>
        </w:rPr>
      </w:pPr>
    </w:p>
    <w:p w14:paraId="3B248F20" w14:textId="276BC123" w:rsidR="004A0B5F" w:rsidRPr="00AC0C50" w:rsidRDefault="004A0B5F" w:rsidP="00D15AA0">
      <w:pPr>
        <w:spacing w:line="276" w:lineRule="auto"/>
        <w:rPr>
          <w:rFonts w:cstheme="majorHAnsi"/>
          <w:szCs w:val="22"/>
        </w:rPr>
      </w:pPr>
      <w:r w:rsidRPr="00AC0C50">
        <w:rPr>
          <w:rFonts w:cstheme="majorHAnsi"/>
          <w:szCs w:val="22"/>
        </w:rPr>
        <w:t xml:space="preserve">The third column of the previous table </w:t>
      </w:r>
      <w:proofErr w:type="spellStart"/>
      <w:r w:rsidRPr="00AC0C50">
        <w:rPr>
          <w:rFonts w:cstheme="majorHAnsi"/>
          <w:szCs w:val="22"/>
        </w:rPr>
        <w:t>epitomises</w:t>
      </w:r>
      <w:proofErr w:type="spellEnd"/>
      <w:r w:rsidRPr="00AC0C50">
        <w:rPr>
          <w:rFonts w:cstheme="majorHAnsi"/>
          <w:szCs w:val="22"/>
        </w:rPr>
        <w:t xml:space="preserve"> some of the features of cultural humility.  In particular, to adopt cultural humility, service employees, such as supervisors and health practitioners, should</w:t>
      </w:r>
    </w:p>
    <w:p w14:paraId="049382E3" w14:textId="77777777" w:rsidR="004A0B5F" w:rsidRPr="00AC0C50" w:rsidRDefault="004A0B5F" w:rsidP="00D15AA0">
      <w:pPr>
        <w:spacing w:line="276" w:lineRule="auto"/>
        <w:rPr>
          <w:rFonts w:cstheme="majorHAnsi"/>
          <w:szCs w:val="22"/>
        </w:rPr>
      </w:pPr>
    </w:p>
    <w:p w14:paraId="2A110426" w14:textId="77777777" w:rsidR="004A0B5F" w:rsidRPr="00AC0C50" w:rsidRDefault="004A0B5F" w:rsidP="00D15AA0">
      <w:pPr>
        <w:pStyle w:val="ListParagraph"/>
        <w:numPr>
          <w:ilvl w:val="0"/>
          <w:numId w:val="25"/>
        </w:numPr>
        <w:spacing w:before="0" w:after="0" w:line="276" w:lineRule="auto"/>
        <w:rPr>
          <w:rFonts w:cstheme="majorHAnsi"/>
          <w:szCs w:val="22"/>
        </w:rPr>
      </w:pPr>
      <w:r w:rsidRPr="00AC0C50">
        <w:rPr>
          <w:rFonts w:cstheme="majorHAnsi"/>
          <w:szCs w:val="22"/>
        </w:rPr>
        <w:t>recognize that many of their assumptions and knowledge about the culture of clients may be limited, misguided, and biased</w:t>
      </w:r>
    </w:p>
    <w:p w14:paraId="69D8FCCB" w14:textId="77777777" w:rsidR="004A0B5F" w:rsidRPr="00AC0C50" w:rsidRDefault="004A0B5F" w:rsidP="00D15AA0">
      <w:pPr>
        <w:pStyle w:val="ListParagraph"/>
        <w:numPr>
          <w:ilvl w:val="0"/>
          <w:numId w:val="25"/>
        </w:numPr>
        <w:spacing w:before="0" w:after="0" w:line="276" w:lineRule="auto"/>
        <w:rPr>
          <w:rFonts w:cstheme="majorHAnsi"/>
          <w:szCs w:val="22"/>
        </w:rPr>
      </w:pPr>
      <w:r w:rsidRPr="00AC0C50">
        <w:rPr>
          <w:rFonts w:cstheme="majorHAnsi"/>
          <w:szCs w:val="22"/>
        </w:rPr>
        <w:t>ask questions to understand the clients better—such as their hopes, fears, and preferences— and to override misguided assumptions</w:t>
      </w:r>
    </w:p>
    <w:p w14:paraId="4466F387" w14:textId="77777777" w:rsidR="004A0B5F" w:rsidRPr="00AC0C50" w:rsidRDefault="004A0B5F" w:rsidP="00D15AA0">
      <w:pPr>
        <w:pStyle w:val="ListParagraph"/>
        <w:numPr>
          <w:ilvl w:val="0"/>
          <w:numId w:val="25"/>
        </w:numPr>
        <w:spacing w:before="0" w:after="0" w:line="276" w:lineRule="auto"/>
        <w:rPr>
          <w:rFonts w:cstheme="majorHAnsi"/>
          <w:szCs w:val="22"/>
        </w:rPr>
      </w:pPr>
      <w:r w:rsidRPr="00AC0C50">
        <w:rPr>
          <w:rFonts w:cstheme="majorHAnsi"/>
          <w:szCs w:val="22"/>
        </w:rPr>
        <w:t>develop a mindset in which they are mindful, attentive, and empathetic rather than presumptuous (Hook et al 2017; Hook &amp; Watkins, 2015)</w:t>
      </w:r>
    </w:p>
    <w:p w14:paraId="7C4CABB7" w14:textId="1C986F63" w:rsidR="004A0B5F" w:rsidRPr="00AC0C50" w:rsidRDefault="004A0B5F" w:rsidP="00D15AA0">
      <w:pPr>
        <w:spacing w:line="276" w:lineRule="auto"/>
        <w:rPr>
          <w:rFonts w:cstheme="majorHAnsi"/>
          <w:lang w:val="en-AU"/>
        </w:rPr>
      </w:pPr>
    </w:p>
    <w:p w14:paraId="1EF5DE51" w14:textId="6BDD1CD3" w:rsidR="004A0B5F" w:rsidRDefault="004A0B5F" w:rsidP="00D15AA0">
      <w:pPr>
        <w:spacing w:line="276" w:lineRule="auto"/>
        <w:rPr>
          <w:rFonts w:cstheme="majorHAnsi"/>
          <w:lang w:val="en-AU"/>
        </w:rPr>
      </w:pPr>
    </w:p>
    <w:p w14:paraId="1CA7C4F0" w14:textId="6B3AEF72" w:rsidR="00D15AA0" w:rsidRDefault="00D15AA0" w:rsidP="00D15AA0">
      <w:pPr>
        <w:spacing w:line="276" w:lineRule="auto"/>
        <w:rPr>
          <w:rFonts w:cstheme="majorHAnsi"/>
          <w:lang w:val="en-AU"/>
        </w:rPr>
      </w:pPr>
    </w:p>
    <w:p w14:paraId="4F00D476" w14:textId="77777777" w:rsidR="00D15AA0" w:rsidRPr="00AC0C50" w:rsidRDefault="00D15AA0" w:rsidP="00D15AA0">
      <w:pPr>
        <w:spacing w:line="276" w:lineRule="auto"/>
        <w:rPr>
          <w:rFonts w:cstheme="majorHAnsi"/>
          <w:lang w:val="en-AU"/>
        </w:rPr>
      </w:pPr>
    </w:p>
    <w:p w14:paraId="1ACD65DE" w14:textId="5713C62D" w:rsidR="004A0B5F" w:rsidRPr="00AC0C50" w:rsidRDefault="004A0B5F" w:rsidP="00D15AA0">
      <w:pPr>
        <w:pStyle w:val="Heading2"/>
        <w:spacing w:line="276" w:lineRule="auto"/>
        <w:rPr>
          <w:rFonts w:asciiTheme="majorHAnsi" w:hAnsiTheme="majorHAnsi" w:cstheme="majorHAnsi"/>
        </w:rPr>
      </w:pPr>
      <w:r w:rsidRPr="00AC0C50">
        <w:rPr>
          <w:rFonts w:asciiTheme="majorHAnsi" w:hAnsiTheme="majorHAnsi" w:cstheme="majorHAnsi"/>
        </w:rPr>
        <w:t>How to develop cultural humility</w:t>
      </w:r>
    </w:p>
    <w:p w14:paraId="5EDAF801" w14:textId="3C5D87B6" w:rsidR="004A0B5F" w:rsidRPr="00AC0C50" w:rsidRDefault="004A0B5F" w:rsidP="00D15AA0">
      <w:pPr>
        <w:spacing w:line="276" w:lineRule="auto"/>
        <w:rPr>
          <w:rFonts w:cstheme="majorHAnsi"/>
        </w:rPr>
      </w:pPr>
    </w:p>
    <w:p w14:paraId="6B2C20EA" w14:textId="16F79C02" w:rsidR="004A0B5F" w:rsidRPr="00AC0C50" w:rsidRDefault="004A0B5F" w:rsidP="00D15AA0">
      <w:pPr>
        <w:spacing w:line="276" w:lineRule="auto"/>
        <w:rPr>
          <w:rFonts w:cstheme="majorHAnsi"/>
        </w:rPr>
      </w:pPr>
    </w:p>
    <w:p w14:paraId="19967F38" w14:textId="77777777" w:rsidR="004A0B5F" w:rsidRPr="00AC0C50" w:rsidRDefault="004A0B5F" w:rsidP="00D15AA0">
      <w:pPr>
        <w:spacing w:line="276" w:lineRule="auto"/>
        <w:rPr>
          <w:rFonts w:cstheme="majorHAnsi"/>
          <w:szCs w:val="22"/>
        </w:rPr>
      </w:pPr>
      <w:r w:rsidRPr="00AC0C50">
        <w:rPr>
          <w:rFonts w:cstheme="majorHAnsi"/>
          <w:szCs w:val="22"/>
        </w:rPr>
        <w:t xml:space="preserve">Soon after the notion of cultural humility surfaced, researchers and practitioners began to clarify how individuals can develop this mindset.  The following table outlines some practices that service providers, supervisors, and other employees can apply to demonstrate cultural humility.  </w:t>
      </w:r>
    </w:p>
    <w:p w14:paraId="3D9B3846" w14:textId="77777777" w:rsidR="004A0B5F" w:rsidRPr="00AC0C50" w:rsidRDefault="004A0B5F" w:rsidP="00D15AA0">
      <w:pPr>
        <w:spacing w:line="276" w:lineRule="auto"/>
        <w:rPr>
          <w:rFonts w:cstheme="majorHAnsi"/>
          <w:szCs w:val="22"/>
        </w:rPr>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2947"/>
        <w:gridCol w:w="6095"/>
      </w:tblGrid>
      <w:tr w:rsidR="004A0B5F" w:rsidRPr="00AC0C50" w14:paraId="331CCACF" w14:textId="77777777" w:rsidTr="00E6619C">
        <w:tc>
          <w:tcPr>
            <w:tcW w:w="2947" w:type="dxa"/>
            <w:shd w:val="clear" w:color="auto" w:fill="C6EBD6" w:themeFill="accent5" w:themeFillTint="66"/>
          </w:tcPr>
          <w:p w14:paraId="06CAA05D" w14:textId="77777777" w:rsidR="004A0B5F" w:rsidRPr="00AC0C50" w:rsidRDefault="004A0B5F" w:rsidP="00D15AA0">
            <w:pPr>
              <w:spacing w:line="276" w:lineRule="auto"/>
              <w:jc w:val="center"/>
              <w:rPr>
                <w:rFonts w:cstheme="majorHAnsi"/>
              </w:rPr>
            </w:pPr>
            <w:r w:rsidRPr="00AC0C50">
              <w:rPr>
                <w:rFonts w:cstheme="majorHAnsi"/>
              </w:rPr>
              <w:lastRenderedPageBreak/>
              <w:t>Practice</w:t>
            </w:r>
          </w:p>
        </w:tc>
        <w:tc>
          <w:tcPr>
            <w:tcW w:w="6095" w:type="dxa"/>
            <w:shd w:val="clear" w:color="auto" w:fill="C6EBD6" w:themeFill="accent5" w:themeFillTint="66"/>
          </w:tcPr>
          <w:p w14:paraId="2676B57A" w14:textId="77777777" w:rsidR="004A0B5F" w:rsidRPr="00AC0C50" w:rsidRDefault="004A0B5F" w:rsidP="00D15AA0">
            <w:pPr>
              <w:spacing w:line="276" w:lineRule="auto"/>
              <w:jc w:val="center"/>
              <w:rPr>
                <w:rFonts w:cstheme="majorHAnsi"/>
              </w:rPr>
            </w:pPr>
            <w:r w:rsidRPr="00AC0C50">
              <w:rPr>
                <w:rFonts w:cstheme="majorHAnsi"/>
              </w:rPr>
              <w:t>Details</w:t>
            </w:r>
          </w:p>
        </w:tc>
      </w:tr>
      <w:tr w:rsidR="004A0B5F" w:rsidRPr="00AC0C50" w14:paraId="4AF76D5E" w14:textId="77777777" w:rsidTr="00E6619C">
        <w:tc>
          <w:tcPr>
            <w:tcW w:w="2947" w:type="dxa"/>
            <w:shd w:val="clear" w:color="auto" w:fill="D9D9D9" w:themeFill="background1" w:themeFillShade="D9"/>
          </w:tcPr>
          <w:p w14:paraId="729D3798" w14:textId="77777777" w:rsidR="004A0B5F" w:rsidRPr="00AC0C50" w:rsidRDefault="004A0B5F" w:rsidP="00D15AA0">
            <w:pPr>
              <w:spacing w:line="276" w:lineRule="auto"/>
              <w:rPr>
                <w:rFonts w:cstheme="majorHAnsi"/>
              </w:rPr>
            </w:pPr>
            <w:r w:rsidRPr="00AC0C50">
              <w:rPr>
                <w:rFonts w:cstheme="majorHAnsi"/>
              </w:rPr>
              <w:t>Contemplate your personal biases</w:t>
            </w:r>
          </w:p>
        </w:tc>
        <w:tc>
          <w:tcPr>
            <w:tcW w:w="6095" w:type="dxa"/>
            <w:shd w:val="clear" w:color="auto" w:fill="D9D9D9" w:themeFill="background1" w:themeFillShade="D9"/>
          </w:tcPr>
          <w:p w14:paraId="146ABE9A" w14:textId="77777777" w:rsidR="004A0B5F" w:rsidRPr="00AC0C50" w:rsidRDefault="004A0B5F" w:rsidP="00D15AA0">
            <w:pPr>
              <w:pStyle w:val="ListParagraph"/>
              <w:numPr>
                <w:ilvl w:val="0"/>
                <w:numId w:val="23"/>
              </w:numPr>
              <w:spacing w:before="0" w:after="0" w:line="276" w:lineRule="auto"/>
              <w:rPr>
                <w:rFonts w:cstheme="majorHAnsi"/>
              </w:rPr>
            </w:pPr>
            <w:r w:rsidRPr="00AC0C50">
              <w:rPr>
                <w:rFonts w:cstheme="majorHAnsi"/>
              </w:rPr>
              <w:t>Identify your own stereotypes and biases around specific cultures and communities—such as people of specific classes, faiths, ethnicities, sexual orientations, and income brackets</w:t>
            </w:r>
          </w:p>
          <w:p w14:paraId="5E1EE180" w14:textId="77777777" w:rsidR="004A0B5F" w:rsidRPr="00AC0C50" w:rsidRDefault="004A0B5F" w:rsidP="00D15AA0">
            <w:pPr>
              <w:pStyle w:val="ListParagraph"/>
              <w:numPr>
                <w:ilvl w:val="0"/>
                <w:numId w:val="23"/>
              </w:numPr>
              <w:spacing w:before="0" w:after="0" w:line="276" w:lineRule="auto"/>
              <w:rPr>
                <w:rFonts w:cstheme="majorHAnsi"/>
              </w:rPr>
            </w:pPr>
            <w:r w:rsidRPr="00AC0C50">
              <w:rPr>
                <w:rFonts w:cstheme="majorHAnsi"/>
              </w:rPr>
              <w:t>Challenge the unconscious tendency of many people to perceive their own cultures, values, beliefs, and knowledge as superior or correct</w:t>
            </w:r>
          </w:p>
          <w:p w14:paraId="61BDD73F" w14:textId="77777777" w:rsidR="004A0B5F" w:rsidRPr="00AC0C50" w:rsidRDefault="004A0B5F" w:rsidP="00D15AA0">
            <w:pPr>
              <w:pStyle w:val="ListParagraph"/>
              <w:numPr>
                <w:ilvl w:val="0"/>
                <w:numId w:val="23"/>
              </w:numPr>
              <w:spacing w:before="0" w:after="0" w:line="276" w:lineRule="auto"/>
              <w:rPr>
                <w:rFonts w:cstheme="majorHAnsi"/>
              </w:rPr>
            </w:pPr>
            <w:r w:rsidRPr="00AC0C50">
              <w:rPr>
                <w:rFonts w:cstheme="majorHAnsi"/>
              </w:rPr>
              <w:t>Consider how your own positions of power or privileges might have shaped these stereotypes and biases (Mosher et al., 2017)</w:t>
            </w:r>
          </w:p>
        </w:tc>
      </w:tr>
      <w:tr w:rsidR="004A0B5F" w:rsidRPr="00AC0C50" w14:paraId="06920131" w14:textId="77777777" w:rsidTr="00E6619C">
        <w:tc>
          <w:tcPr>
            <w:tcW w:w="2947" w:type="dxa"/>
            <w:shd w:val="clear" w:color="auto" w:fill="D9D9D9" w:themeFill="background1" w:themeFillShade="D9"/>
          </w:tcPr>
          <w:p w14:paraId="112B950E" w14:textId="77777777" w:rsidR="004A0B5F" w:rsidRPr="00AC0C50" w:rsidRDefault="004A0B5F" w:rsidP="00D15AA0">
            <w:pPr>
              <w:spacing w:line="276" w:lineRule="auto"/>
              <w:rPr>
                <w:rFonts w:cstheme="majorHAnsi"/>
              </w:rPr>
            </w:pPr>
            <w:r w:rsidRPr="00AC0C50">
              <w:rPr>
                <w:rFonts w:cstheme="majorHAnsi"/>
              </w:rPr>
              <w:t>Contemplate your professional biases</w:t>
            </w:r>
          </w:p>
        </w:tc>
        <w:tc>
          <w:tcPr>
            <w:tcW w:w="6095" w:type="dxa"/>
            <w:shd w:val="clear" w:color="auto" w:fill="D9D9D9" w:themeFill="background1" w:themeFillShade="D9"/>
          </w:tcPr>
          <w:p w14:paraId="5001EEC3" w14:textId="77777777" w:rsidR="004A0B5F" w:rsidRPr="00AC0C50" w:rsidRDefault="004A0B5F" w:rsidP="00D15AA0">
            <w:pPr>
              <w:pStyle w:val="ListParagraph"/>
              <w:numPr>
                <w:ilvl w:val="0"/>
                <w:numId w:val="23"/>
              </w:numPr>
              <w:spacing w:before="0" w:after="0" w:line="276" w:lineRule="auto"/>
              <w:rPr>
                <w:rFonts w:cstheme="majorHAnsi"/>
              </w:rPr>
            </w:pPr>
            <w:r w:rsidRPr="00AC0C50">
              <w:rPr>
                <w:rFonts w:cstheme="majorHAnsi"/>
              </w:rPr>
              <w:t>Recognize that some of your biases and misconceptions might emanate from your discipline or field</w:t>
            </w:r>
          </w:p>
          <w:p w14:paraId="75317CEA" w14:textId="77777777" w:rsidR="004A0B5F" w:rsidRPr="00AC0C50" w:rsidRDefault="004A0B5F" w:rsidP="00D15AA0">
            <w:pPr>
              <w:pStyle w:val="ListParagraph"/>
              <w:numPr>
                <w:ilvl w:val="0"/>
                <w:numId w:val="23"/>
              </w:numPr>
              <w:spacing w:before="0" w:after="0" w:line="276" w:lineRule="auto"/>
              <w:rPr>
                <w:rFonts w:cstheme="majorHAnsi"/>
              </w:rPr>
            </w:pPr>
            <w:r w:rsidRPr="00AC0C50">
              <w:rPr>
                <w:rFonts w:cstheme="majorHAnsi"/>
              </w:rPr>
              <w:t>For example, many training programs impart insights about differences across cultures—but this information might amplify the disparities or overlook the variations within cultures (</w:t>
            </w:r>
            <w:proofErr w:type="spellStart"/>
            <w:r w:rsidRPr="00AC0C50">
              <w:rPr>
                <w:rFonts w:cstheme="majorHAnsi"/>
              </w:rPr>
              <w:t>Patallo</w:t>
            </w:r>
            <w:proofErr w:type="spellEnd"/>
            <w:r w:rsidRPr="00AC0C50">
              <w:rPr>
                <w:rFonts w:cstheme="majorHAnsi"/>
              </w:rPr>
              <w:t>, 2019)</w:t>
            </w:r>
          </w:p>
        </w:tc>
      </w:tr>
      <w:tr w:rsidR="004A0B5F" w:rsidRPr="00AC0C50" w14:paraId="1203C05C" w14:textId="77777777" w:rsidTr="00E6619C">
        <w:tc>
          <w:tcPr>
            <w:tcW w:w="2947" w:type="dxa"/>
            <w:shd w:val="clear" w:color="auto" w:fill="D9D9D9" w:themeFill="background1" w:themeFillShade="D9"/>
          </w:tcPr>
          <w:p w14:paraId="2A4462BC" w14:textId="77777777" w:rsidR="004A0B5F" w:rsidRPr="00AC0C50" w:rsidRDefault="004A0B5F" w:rsidP="00D15AA0">
            <w:pPr>
              <w:spacing w:line="276" w:lineRule="auto"/>
              <w:rPr>
                <w:rFonts w:cstheme="majorHAnsi"/>
              </w:rPr>
            </w:pPr>
            <w:r w:rsidRPr="00AC0C50">
              <w:rPr>
                <w:rFonts w:cstheme="majorHAnsi"/>
              </w:rPr>
              <w:t>Embrace opportunities to learn about specific cultures and diverse cultures in general; conceptualize this learning as a lifelong journey</w:t>
            </w:r>
          </w:p>
        </w:tc>
        <w:tc>
          <w:tcPr>
            <w:tcW w:w="6095" w:type="dxa"/>
            <w:shd w:val="clear" w:color="auto" w:fill="D9D9D9" w:themeFill="background1" w:themeFillShade="D9"/>
          </w:tcPr>
          <w:p w14:paraId="1C8C870A" w14:textId="77777777" w:rsidR="004A0B5F" w:rsidRPr="00AC0C50" w:rsidRDefault="004A0B5F" w:rsidP="00D15AA0">
            <w:pPr>
              <w:pStyle w:val="ListParagraph"/>
              <w:numPr>
                <w:ilvl w:val="0"/>
                <w:numId w:val="23"/>
              </w:numPr>
              <w:spacing w:before="0" w:after="0" w:line="276" w:lineRule="auto"/>
              <w:rPr>
                <w:rFonts w:cstheme="majorHAnsi"/>
              </w:rPr>
            </w:pPr>
            <w:r w:rsidRPr="00AC0C50">
              <w:rPr>
                <w:rFonts w:cstheme="majorHAnsi"/>
              </w:rPr>
              <w:t>Learn about the experiences and effects of oppression, migration, and other dynamics that typify many diverse cultures</w:t>
            </w:r>
          </w:p>
          <w:p w14:paraId="56253BB6" w14:textId="77777777" w:rsidR="004A0B5F" w:rsidRPr="00AC0C50" w:rsidRDefault="004A0B5F" w:rsidP="00D15AA0">
            <w:pPr>
              <w:pStyle w:val="ListParagraph"/>
              <w:numPr>
                <w:ilvl w:val="0"/>
                <w:numId w:val="23"/>
              </w:numPr>
              <w:spacing w:before="0" w:after="0" w:line="276" w:lineRule="auto"/>
              <w:rPr>
                <w:rFonts w:cstheme="majorHAnsi"/>
              </w:rPr>
            </w:pPr>
            <w:r w:rsidRPr="00AC0C50">
              <w:rPr>
                <w:rFonts w:cstheme="majorHAnsi"/>
              </w:rPr>
              <w:t>Learn about the history, values, rituals, and norms of specific cultures, ultimately to appreciate the complexities and challenges of cultures</w:t>
            </w:r>
          </w:p>
          <w:p w14:paraId="6D708DFB" w14:textId="77777777" w:rsidR="004A0B5F" w:rsidRPr="00AC0C50" w:rsidRDefault="004A0B5F" w:rsidP="00D15AA0">
            <w:pPr>
              <w:pStyle w:val="ListParagraph"/>
              <w:numPr>
                <w:ilvl w:val="0"/>
                <w:numId w:val="23"/>
              </w:numPr>
              <w:spacing w:before="0" w:after="0" w:line="276" w:lineRule="auto"/>
              <w:rPr>
                <w:rFonts w:cstheme="majorHAnsi"/>
              </w:rPr>
            </w:pPr>
            <w:r w:rsidRPr="00AC0C50">
              <w:rPr>
                <w:rFonts w:cstheme="majorHAnsi"/>
              </w:rPr>
              <w:t>Do not depend on one source; recognize that every member of a culture may develop a unique perspective</w:t>
            </w:r>
          </w:p>
        </w:tc>
      </w:tr>
      <w:tr w:rsidR="004A0B5F" w:rsidRPr="00AC0C50" w14:paraId="0D2D243E" w14:textId="77777777" w:rsidTr="00E6619C">
        <w:tc>
          <w:tcPr>
            <w:tcW w:w="2947" w:type="dxa"/>
            <w:shd w:val="clear" w:color="auto" w:fill="D9D9D9" w:themeFill="background1" w:themeFillShade="D9"/>
          </w:tcPr>
          <w:p w14:paraId="34F74BBC" w14:textId="77777777" w:rsidR="004A0B5F" w:rsidRPr="00AC0C50" w:rsidRDefault="004A0B5F" w:rsidP="00D15AA0">
            <w:pPr>
              <w:spacing w:line="276" w:lineRule="auto"/>
              <w:rPr>
                <w:rFonts w:cstheme="majorHAnsi"/>
              </w:rPr>
            </w:pPr>
            <w:r w:rsidRPr="00AC0C50">
              <w:rPr>
                <w:rFonts w:cstheme="majorHAnsi"/>
              </w:rPr>
              <w:t>Do not inflate the knowledge you have gained</w:t>
            </w:r>
          </w:p>
        </w:tc>
        <w:tc>
          <w:tcPr>
            <w:tcW w:w="6095" w:type="dxa"/>
            <w:shd w:val="clear" w:color="auto" w:fill="D9D9D9" w:themeFill="background1" w:themeFillShade="D9"/>
          </w:tcPr>
          <w:p w14:paraId="0E213BA0" w14:textId="77777777" w:rsidR="004A0B5F" w:rsidRPr="00AC0C50" w:rsidRDefault="004A0B5F" w:rsidP="00D15AA0">
            <w:pPr>
              <w:pStyle w:val="ListParagraph"/>
              <w:numPr>
                <w:ilvl w:val="0"/>
                <w:numId w:val="23"/>
              </w:numPr>
              <w:spacing w:before="0" w:after="0" w:line="276" w:lineRule="auto"/>
              <w:rPr>
                <w:rFonts w:cstheme="majorHAnsi"/>
              </w:rPr>
            </w:pPr>
            <w:r w:rsidRPr="00AC0C50">
              <w:rPr>
                <w:rFonts w:cstheme="majorHAnsi"/>
              </w:rPr>
              <w:t xml:space="preserve">Recognize that, despite extensive exposure to a community or culture, your knowledge and insight is still limited; that is, knowledge should foster humility rather than conceit (Hook et al. </w:t>
            </w:r>
            <w:proofErr w:type="gramStart"/>
            <w:r w:rsidRPr="00AC0C50">
              <w:rPr>
                <w:rFonts w:cstheme="majorHAnsi"/>
              </w:rPr>
              <w:t>2016 ;</w:t>
            </w:r>
            <w:proofErr w:type="gramEnd"/>
            <w:r w:rsidRPr="00AC0C50">
              <w:rPr>
                <w:rFonts w:cstheme="majorHAnsi"/>
              </w:rPr>
              <w:t xml:space="preserve"> Abbott et al., 2019)</w:t>
            </w:r>
          </w:p>
          <w:p w14:paraId="2BF911D0" w14:textId="77777777" w:rsidR="004A0B5F" w:rsidRPr="00AC0C50" w:rsidRDefault="004A0B5F" w:rsidP="00D15AA0">
            <w:pPr>
              <w:pStyle w:val="ListParagraph"/>
              <w:numPr>
                <w:ilvl w:val="0"/>
                <w:numId w:val="23"/>
              </w:numPr>
              <w:spacing w:before="0" w:after="0" w:line="276" w:lineRule="auto"/>
              <w:rPr>
                <w:rFonts w:cstheme="majorHAnsi"/>
              </w:rPr>
            </w:pPr>
            <w:r w:rsidRPr="00AC0C50">
              <w:rPr>
                <w:rFonts w:cstheme="majorHAnsi"/>
              </w:rPr>
              <w:t>Similarly, do not overestimate your knowledge and insight about a community merely because you have served or assisted other members of this community before</w:t>
            </w:r>
          </w:p>
        </w:tc>
      </w:tr>
      <w:tr w:rsidR="004A0B5F" w:rsidRPr="00AC0C50" w14:paraId="29206E64" w14:textId="77777777" w:rsidTr="00E6619C">
        <w:tc>
          <w:tcPr>
            <w:tcW w:w="2947" w:type="dxa"/>
            <w:shd w:val="clear" w:color="auto" w:fill="D9D9D9" w:themeFill="background1" w:themeFillShade="D9"/>
          </w:tcPr>
          <w:p w14:paraId="17D42389" w14:textId="77777777" w:rsidR="004A0B5F" w:rsidRPr="00AC0C50" w:rsidRDefault="004A0B5F" w:rsidP="00D15AA0">
            <w:pPr>
              <w:spacing w:line="276" w:lineRule="auto"/>
              <w:rPr>
                <w:rFonts w:cstheme="majorHAnsi"/>
              </w:rPr>
            </w:pPr>
            <w:r w:rsidRPr="00AC0C50">
              <w:rPr>
                <w:rFonts w:cstheme="majorHAnsi"/>
              </w:rPr>
              <w:t xml:space="preserve">Recognize you might need more time to develop trust, rapport, and alliance  </w:t>
            </w:r>
          </w:p>
        </w:tc>
        <w:tc>
          <w:tcPr>
            <w:tcW w:w="6095" w:type="dxa"/>
            <w:shd w:val="clear" w:color="auto" w:fill="D9D9D9" w:themeFill="background1" w:themeFillShade="D9"/>
          </w:tcPr>
          <w:p w14:paraId="4063FD69" w14:textId="77777777" w:rsidR="004A0B5F" w:rsidRPr="00AC0C50" w:rsidRDefault="004A0B5F" w:rsidP="00D15AA0">
            <w:pPr>
              <w:pStyle w:val="ListParagraph"/>
              <w:numPr>
                <w:ilvl w:val="0"/>
                <w:numId w:val="23"/>
              </w:numPr>
              <w:spacing w:before="0" w:after="0" w:line="276" w:lineRule="auto"/>
              <w:rPr>
                <w:rFonts w:cstheme="majorHAnsi"/>
              </w:rPr>
            </w:pPr>
            <w:r w:rsidRPr="00AC0C50">
              <w:rPr>
                <w:rFonts w:cstheme="majorHAnsi"/>
              </w:rPr>
              <w:t>Many service providers, such as health practitioners, incorrectly assume that some communities, cultures, and minorities are inherently wary rather than trusting</w:t>
            </w:r>
          </w:p>
          <w:p w14:paraId="56FD794A" w14:textId="77777777" w:rsidR="004A0B5F" w:rsidRPr="00AC0C50" w:rsidRDefault="004A0B5F" w:rsidP="00D15AA0">
            <w:pPr>
              <w:pStyle w:val="ListParagraph"/>
              <w:numPr>
                <w:ilvl w:val="0"/>
                <w:numId w:val="23"/>
              </w:numPr>
              <w:spacing w:before="0" w:after="0" w:line="276" w:lineRule="auto"/>
              <w:rPr>
                <w:rFonts w:cstheme="majorHAnsi"/>
              </w:rPr>
            </w:pPr>
            <w:r w:rsidRPr="00AC0C50">
              <w:rPr>
                <w:rFonts w:cstheme="majorHAnsi"/>
              </w:rPr>
              <w:t>According to some research however, in practice, some minorities are more trusting than is the dominant culture until they attempt to access various services (</w:t>
            </w:r>
            <w:proofErr w:type="spellStart"/>
            <w:r w:rsidRPr="00AC0C50">
              <w:rPr>
                <w:rFonts w:cstheme="majorHAnsi"/>
              </w:rPr>
              <w:t>Diala</w:t>
            </w:r>
            <w:proofErr w:type="spellEnd"/>
            <w:r w:rsidRPr="00AC0C50">
              <w:rPr>
                <w:rFonts w:cstheme="majorHAnsi"/>
              </w:rPr>
              <w:t xml:space="preserve"> et al., 2000)</w:t>
            </w:r>
          </w:p>
          <w:p w14:paraId="5522E50C" w14:textId="77777777" w:rsidR="004A0B5F" w:rsidRPr="00AC0C50" w:rsidRDefault="004A0B5F" w:rsidP="00D15AA0">
            <w:pPr>
              <w:pStyle w:val="ListParagraph"/>
              <w:numPr>
                <w:ilvl w:val="0"/>
                <w:numId w:val="23"/>
              </w:numPr>
              <w:spacing w:before="0" w:after="0" w:line="276" w:lineRule="auto"/>
              <w:rPr>
                <w:rFonts w:cstheme="majorHAnsi"/>
              </w:rPr>
            </w:pPr>
            <w:r w:rsidRPr="00AC0C50">
              <w:rPr>
                <w:rFonts w:cstheme="majorHAnsi"/>
              </w:rPr>
              <w:t>But, because of stereotypes and discrimination, these services are often not as helpful as anticipated, culminating in cynicism rather than trust (</w:t>
            </w:r>
            <w:proofErr w:type="spellStart"/>
            <w:r w:rsidRPr="00AC0C50">
              <w:rPr>
                <w:rFonts w:cstheme="majorHAnsi"/>
              </w:rPr>
              <w:t>Diala</w:t>
            </w:r>
            <w:proofErr w:type="spellEnd"/>
            <w:r w:rsidRPr="00AC0C50">
              <w:rPr>
                <w:rFonts w:cstheme="majorHAnsi"/>
              </w:rPr>
              <w:t xml:space="preserve"> et al., 2000)</w:t>
            </w:r>
          </w:p>
          <w:p w14:paraId="36B9DD0B" w14:textId="77777777" w:rsidR="004A0B5F" w:rsidRPr="00AC0C50" w:rsidRDefault="004A0B5F" w:rsidP="00D15AA0">
            <w:pPr>
              <w:pStyle w:val="ListParagraph"/>
              <w:numPr>
                <w:ilvl w:val="0"/>
                <w:numId w:val="23"/>
              </w:numPr>
              <w:spacing w:before="0" w:after="0" w:line="276" w:lineRule="auto"/>
              <w:rPr>
                <w:rFonts w:cstheme="majorHAnsi"/>
              </w:rPr>
            </w:pPr>
            <w:r w:rsidRPr="00AC0C50">
              <w:rPr>
                <w:rFonts w:cstheme="majorHAnsi"/>
              </w:rPr>
              <w:t xml:space="preserve">These considerations imply that, after some time, trust might </w:t>
            </w:r>
            <w:proofErr w:type="gramStart"/>
            <w:r w:rsidRPr="00AC0C50">
              <w:rPr>
                <w:rFonts w:cstheme="majorHAnsi"/>
              </w:rPr>
              <w:t>resurface</w:t>
            </w:r>
            <w:proofErr w:type="gramEnd"/>
            <w:r w:rsidRPr="00AC0C50">
              <w:rPr>
                <w:rFonts w:cstheme="majorHAnsi"/>
              </w:rPr>
              <w:t xml:space="preserve"> and the alliance may improve</w:t>
            </w:r>
          </w:p>
          <w:p w14:paraId="1361C71D" w14:textId="77777777" w:rsidR="004A0B5F" w:rsidRPr="00AC0C50" w:rsidRDefault="004A0B5F" w:rsidP="00D15AA0">
            <w:pPr>
              <w:pStyle w:val="ListParagraph"/>
              <w:numPr>
                <w:ilvl w:val="0"/>
                <w:numId w:val="23"/>
              </w:numPr>
              <w:spacing w:before="0" w:after="0" w:line="276" w:lineRule="auto"/>
              <w:rPr>
                <w:rFonts w:cstheme="majorHAnsi"/>
              </w:rPr>
            </w:pPr>
            <w:r w:rsidRPr="00AC0C50">
              <w:rPr>
                <w:rFonts w:cstheme="majorHAnsi"/>
              </w:rPr>
              <w:lastRenderedPageBreak/>
              <w:t>The level of trust is thus malleable rather than an inherent feature of cultures or communities</w:t>
            </w:r>
          </w:p>
        </w:tc>
      </w:tr>
      <w:tr w:rsidR="004A0B5F" w:rsidRPr="00AC0C50" w14:paraId="74A40845" w14:textId="77777777" w:rsidTr="00E6619C">
        <w:tc>
          <w:tcPr>
            <w:tcW w:w="2947" w:type="dxa"/>
            <w:shd w:val="clear" w:color="auto" w:fill="D9D9D9" w:themeFill="background1" w:themeFillShade="D9"/>
          </w:tcPr>
          <w:p w14:paraId="5C37B769" w14:textId="77777777" w:rsidR="004A0B5F" w:rsidRPr="00AC0C50" w:rsidRDefault="004A0B5F" w:rsidP="00D15AA0">
            <w:pPr>
              <w:spacing w:line="276" w:lineRule="auto"/>
              <w:rPr>
                <w:rFonts w:cstheme="majorHAnsi"/>
              </w:rPr>
            </w:pPr>
            <w:r w:rsidRPr="00AC0C50">
              <w:rPr>
                <w:rFonts w:cstheme="majorHAnsi"/>
              </w:rPr>
              <w:lastRenderedPageBreak/>
              <w:t xml:space="preserve">Because of the potential of this mistrust, demonstrate some of the hallmarks of trust and respect, such as confidentiality </w:t>
            </w:r>
          </w:p>
        </w:tc>
        <w:tc>
          <w:tcPr>
            <w:tcW w:w="6095" w:type="dxa"/>
            <w:shd w:val="clear" w:color="auto" w:fill="D9D9D9" w:themeFill="background1" w:themeFillShade="D9"/>
          </w:tcPr>
          <w:p w14:paraId="6084231D" w14:textId="77777777" w:rsidR="004A0B5F" w:rsidRPr="00AC0C50" w:rsidRDefault="004A0B5F" w:rsidP="00D15AA0">
            <w:pPr>
              <w:pStyle w:val="ListParagraph"/>
              <w:numPr>
                <w:ilvl w:val="0"/>
                <w:numId w:val="23"/>
              </w:numPr>
              <w:spacing w:before="0" w:after="0" w:line="276" w:lineRule="auto"/>
              <w:rPr>
                <w:rFonts w:cstheme="majorHAnsi"/>
              </w:rPr>
            </w:pPr>
            <w:r w:rsidRPr="00AC0C50">
              <w:rPr>
                <w:rFonts w:cstheme="majorHAnsi"/>
              </w:rPr>
              <w:t>In health settings, for example, you might clarify and underscore the confidentiality of these conversations to a greater extent than usual—given that shame and fear might be more pronounced in diverse cultures because of unpleasant experiences in the past</w:t>
            </w:r>
          </w:p>
          <w:p w14:paraId="484405EC" w14:textId="77777777" w:rsidR="004A0B5F" w:rsidRPr="00AC0C50" w:rsidRDefault="004A0B5F" w:rsidP="00D15AA0">
            <w:pPr>
              <w:pStyle w:val="ListParagraph"/>
              <w:numPr>
                <w:ilvl w:val="0"/>
                <w:numId w:val="23"/>
              </w:numPr>
              <w:spacing w:before="0" w:after="0" w:line="276" w:lineRule="auto"/>
              <w:rPr>
                <w:rFonts w:cstheme="majorHAnsi"/>
              </w:rPr>
            </w:pPr>
            <w:r w:rsidRPr="00AC0C50">
              <w:rPr>
                <w:rFonts w:cstheme="majorHAnsi"/>
              </w:rPr>
              <w:t>You may show respect by, at least initially, addressing these individuals formally, such as “</w:t>
            </w:r>
            <w:proofErr w:type="spellStart"/>
            <w:r w:rsidRPr="00AC0C50">
              <w:rPr>
                <w:rFonts w:cstheme="majorHAnsi"/>
              </w:rPr>
              <w:t>Mr</w:t>
            </w:r>
            <w:proofErr w:type="spellEnd"/>
            <w:r w:rsidRPr="00AC0C50">
              <w:rPr>
                <w:rFonts w:cstheme="majorHAnsi"/>
              </w:rPr>
              <w:t>” or “</w:t>
            </w:r>
            <w:proofErr w:type="spellStart"/>
            <w:r w:rsidRPr="00AC0C50">
              <w:rPr>
                <w:rFonts w:cstheme="majorHAnsi"/>
              </w:rPr>
              <w:t>Ms</w:t>
            </w:r>
            <w:proofErr w:type="spellEnd"/>
            <w:r w:rsidRPr="00AC0C50">
              <w:rPr>
                <w:rFonts w:cstheme="majorHAnsi"/>
              </w:rPr>
              <w:t>”</w:t>
            </w:r>
          </w:p>
        </w:tc>
      </w:tr>
      <w:tr w:rsidR="004A0B5F" w:rsidRPr="00AC0C50" w14:paraId="5B6D6DDF" w14:textId="77777777" w:rsidTr="00E6619C">
        <w:tc>
          <w:tcPr>
            <w:tcW w:w="2947" w:type="dxa"/>
            <w:shd w:val="clear" w:color="auto" w:fill="D9D9D9" w:themeFill="background1" w:themeFillShade="D9"/>
          </w:tcPr>
          <w:p w14:paraId="53DE4197" w14:textId="77777777" w:rsidR="004A0B5F" w:rsidRPr="00AC0C50" w:rsidRDefault="004A0B5F" w:rsidP="00D15AA0">
            <w:pPr>
              <w:spacing w:line="276" w:lineRule="auto"/>
              <w:rPr>
                <w:rFonts w:cstheme="majorHAnsi"/>
              </w:rPr>
            </w:pPr>
            <w:r w:rsidRPr="00AC0C50">
              <w:rPr>
                <w:rFonts w:cstheme="majorHAnsi"/>
              </w:rPr>
              <w:t xml:space="preserve">Recognize that </w:t>
            </w:r>
            <w:proofErr w:type="spellStart"/>
            <w:r w:rsidRPr="00AC0C50">
              <w:rPr>
                <w:rFonts w:cstheme="majorHAnsi"/>
              </w:rPr>
              <w:t>behaviour</w:t>
            </w:r>
            <w:proofErr w:type="spellEnd"/>
            <w:r w:rsidRPr="00AC0C50">
              <w:rPr>
                <w:rFonts w:cstheme="majorHAnsi"/>
              </w:rPr>
              <w:t xml:space="preserve"> that seems to indicate mistrust might simply indicate differences in communication or priorities</w:t>
            </w:r>
          </w:p>
        </w:tc>
        <w:tc>
          <w:tcPr>
            <w:tcW w:w="6095" w:type="dxa"/>
            <w:shd w:val="clear" w:color="auto" w:fill="D9D9D9" w:themeFill="background1" w:themeFillShade="D9"/>
          </w:tcPr>
          <w:p w14:paraId="108727E2" w14:textId="77777777" w:rsidR="004A0B5F" w:rsidRPr="00AC0C50" w:rsidRDefault="004A0B5F" w:rsidP="00D15AA0">
            <w:pPr>
              <w:pStyle w:val="ListParagraph"/>
              <w:numPr>
                <w:ilvl w:val="0"/>
                <w:numId w:val="26"/>
              </w:numPr>
              <w:spacing w:before="0" w:after="0" w:line="276" w:lineRule="auto"/>
              <w:rPr>
                <w:rFonts w:cstheme="majorHAnsi"/>
              </w:rPr>
            </w:pPr>
            <w:r w:rsidRPr="00AC0C50">
              <w:rPr>
                <w:rFonts w:cstheme="majorHAnsi"/>
              </w:rPr>
              <w:t>To illustrate, in many cultures around the world, clients do not tend to disclose or discuss emotional symptoms, even to mental health practitioners</w:t>
            </w:r>
          </w:p>
          <w:p w14:paraId="2C11BD67" w14:textId="77777777" w:rsidR="004A0B5F" w:rsidRPr="00AC0C50" w:rsidRDefault="004A0B5F" w:rsidP="00D15AA0">
            <w:pPr>
              <w:pStyle w:val="ListParagraph"/>
              <w:numPr>
                <w:ilvl w:val="0"/>
                <w:numId w:val="26"/>
              </w:numPr>
              <w:spacing w:before="0" w:after="0" w:line="276" w:lineRule="auto"/>
              <w:rPr>
                <w:rFonts w:cstheme="majorHAnsi"/>
              </w:rPr>
            </w:pPr>
            <w:r w:rsidRPr="00AC0C50">
              <w:rPr>
                <w:rFonts w:cstheme="majorHAnsi"/>
              </w:rPr>
              <w:t>Instead, they tend to disclose somatic or physical symptoms of mental health problems, including depression</w:t>
            </w:r>
          </w:p>
          <w:p w14:paraId="3F9BEA04" w14:textId="77777777" w:rsidR="004A0B5F" w:rsidRPr="00AC0C50" w:rsidRDefault="004A0B5F" w:rsidP="00D15AA0">
            <w:pPr>
              <w:pStyle w:val="ListParagraph"/>
              <w:numPr>
                <w:ilvl w:val="0"/>
                <w:numId w:val="26"/>
              </w:numPr>
              <w:spacing w:before="0" w:after="0" w:line="276" w:lineRule="auto"/>
              <w:rPr>
                <w:rFonts w:cstheme="majorHAnsi"/>
              </w:rPr>
            </w:pPr>
            <w:r w:rsidRPr="00AC0C50">
              <w:rPr>
                <w:rFonts w:cstheme="majorHAnsi"/>
              </w:rPr>
              <w:t xml:space="preserve">That is, they may have learned to orient their attention more to physical symptoms, rather than emotional symptoms, when speaking to health practitioners.    </w:t>
            </w:r>
          </w:p>
        </w:tc>
      </w:tr>
      <w:tr w:rsidR="004A0B5F" w:rsidRPr="00AC0C50" w14:paraId="27AE0F3C" w14:textId="77777777" w:rsidTr="00E6619C">
        <w:tc>
          <w:tcPr>
            <w:tcW w:w="2947" w:type="dxa"/>
            <w:shd w:val="clear" w:color="auto" w:fill="D9D9D9" w:themeFill="background1" w:themeFillShade="D9"/>
          </w:tcPr>
          <w:p w14:paraId="101CFCB9" w14:textId="77777777" w:rsidR="004A0B5F" w:rsidRPr="00AC0C50" w:rsidRDefault="004A0B5F" w:rsidP="00D15AA0">
            <w:pPr>
              <w:spacing w:line="276" w:lineRule="auto"/>
              <w:rPr>
                <w:rFonts w:cstheme="majorHAnsi"/>
              </w:rPr>
            </w:pPr>
            <w:r w:rsidRPr="00AC0C50">
              <w:rPr>
                <w:rFonts w:cstheme="majorHAnsi"/>
              </w:rPr>
              <w:t xml:space="preserve">Occasionally, assume the role of a learner—in which your client helps you understand their culture </w:t>
            </w:r>
          </w:p>
        </w:tc>
        <w:tc>
          <w:tcPr>
            <w:tcW w:w="6095" w:type="dxa"/>
            <w:shd w:val="clear" w:color="auto" w:fill="D9D9D9" w:themeFill="background1" w:themeFillShade="D9"/>
          </w:tcPr>
          <w:p w14:paraId="43181096" w14:textId="77777777" w:rsidR="004A0B5F" w:rsidRPr="00AC0C50" w:rsidRDefault="004A0B5F" w:rsidP="00D15AA0">
            <w:pPr>
              <w:pStyle w:val="ListParagraph"/>
              <w:numPr>
                <w:ilvl w:val="0"/>
                <w:numId w:val="23"/>
              </w:numPr>
              <w:spacing w:before="0" w:after="0" w:line="276" w:lineRule="auto"/>
              <w:rPr>
                <w:rFonts w:cstheme="majorHAnsi"/>
              </w:rPr>
            </w:pPr>
            <w:r w:rsidRPr="00AC0C50">
              <w:rPr>
                <w:rFonts w:cstheme="majorHAnsi"/>
              </w:rPr>
              <w:t>Acknowledge that your knowledge and insight about the relevant cultures might be limited</w:t>
            </w:r>
          </w:p>
          <w:p w14:paraId="0D4119FF" w14:textId="77777777" w:rsidR="004A0B5F" w:rsidRPr="00AC0C50" w:rsidRDefault="004A0B5F" w:rsidP="00D15AA0">
            <w:pPr>
              <w:pStyle w:val="ListParagraph"/>
              <w:numPr>
                <w:ilvl w:val="0"/>
                <w:numId w:val="23"/>
              </w:numPr>
              <w:spacing w:before="0" w:after="0" w:line="276" w:lineRule="auto"/>
              <w:rPr>
                <w:rFonts w:cstheme="majorHAnsi"/>
              </w:rPr>
            </w:pPr>
            <w:r w:rsidRPr="00AC0C50">
              <w:rPr>
                <w:rFonts w:cstheme="majorHAnsi"/>
              </w:rPr>
              <w:t>Encourage the clients to impart this knowledge and insight</w:t>
            </w:r>
          </w:p>
          <w:p w14:paraId="158EF467" w14:textId="77777777" w:rsidR="004A0B5F" w:rsidRPr="00AC0C50" w:rsidRDefault="004A0B5F" w:rsidP="00D15AA0">
            <w:pPr>
              <w:spacing w:line="276" w:lineRule="auto"/>
              <w:rPr>
                <w:rFonts w:cstheme="majorHAnsi"/>
              </w:rPr>
            </w:pPr>
          </w:p>
          <w:p w14:paraId="2842BFB4" w14:textId="77777777" w:rsidR="004A0B5F" w:rsidRPr="00AC0C50" w:rsidRDefault="004A0B5F" w:rsidP="00D15AA0">
            <w:pPr>
              <w:spacing w:line="276" w:lineRule="auto"/>
              <w:rPr>
                <w:rFonts w:cstheme="majorHAnsi"/>
              </w:rPr>
            </w:pPr>
            <w:r w:rsidRPr="00AC0C50">
              <w:rPr>
                <w:rFonts w:cstheme="majorHAnsi"/>
              </w:rPr>
              <w:t>You might ask questions like</w:t>
            </w:r>
          </w:p>
          <w:p w14:paraId="23C11D48" w14:textId="77777777" w:rsidR="004A0B5F" w:rsidRPr="00AC0C50" w:rsidRDefault="004A0B5F" w:rsidP="00D15AA0">
            <w:pPr>
              <w:spacing w:line="276" w:lineRule="auto"/>
              <w:rPr>
                <w:rFonts w:cstheme="majorHAnsi"/>
              </w:rPr>
            </w:pPr>
          </w:p>
          <w:p w14:paraId="428D122C" w14:textId="77777777" w:rsidR="004A0B5F" w:rsidRPr="00AC0C50" w:rsidRDefault="004A0B5F" w:rsidP="00D15AA0">
            <w:pPr>
              <w:pStyle w:val="ListParagraph"/>
              <w:numPr>
                <w:ilvl w:val="0"/>
                <w:numId w:val="27"/>
              </w:numPr>
              <w:spacing w:before="0" w:after="0" w:line="276" w:lineRule="auto"/>
              <w:rPr>
                <w:rFonts w:cstheme="majorHAnsi"/>
              </w:rPr>
            </w:pPr>
            <w:r w:rsidRPr="00AC0C50">
              <w:rPr>
                <w:rFonts w:cstheme="majorHAnsi"/>
              </w:rPr>
              <w:t>“What would you like me to know about this community?  What are some misconceptions that may be common in the media?”</w:t>
            </w:r>
          </w:p>
          <w:p w14:paraId="38FEF29C" w14:textId="77777777" w:rsidR="004A0B5F" w:rsidRPr="00AC0C50" w:rsidRDefault="004A0B5F" w:rsidP="00D15AA0">
            <w:pPr>
              <w:pStyle w:val="ListParagraph"/>
              <w:numPr>
                <w:ilvl w:val="0"/>
                <w:numId w:val="27"/>
              </w:numPr>
              <w:spacing w:before="0" w:after="0" w:line="276" w:lineRule="auto"/>
              <w:rPr>
                <w:rFonts w:cstheme="majorHAnsi"/>
              </w:rPr>
            </w:pPr>
            <w:r w:rsidRPr="00AC0C50">
              <w:rPr>
                <w:rFonts w:cstheme="majorHAnsi"/>
              </w:rPr>
              <w:t>“What do people in this community tend to feel about mental health problems?  How have these beliefs shaped your opinions?”</w:t>
            </w:r>
          </w:p>
        </w:tc>
      </w:tr>
      <w:tr w:rsidR="004A0B5F" w:rsidRPr="00AC0C50" w14:paraId="3EFBBCDA" w14:textId="77777777" w:rsidTr="00E6619C">
        <w:tc>
          <w:tcPr>
            <w:tcW w:w="2947" w:type="dxa"/>
            <w:shd w:val="clear" w:color="auto" w:fill="D9D9D9" w:themeFill="background1" w:themeFillShade="D9"/>
          </w:tcPr>
          <w:p w14:paraId="5B8B2BFD" w14:textId="77777777" w:rsidR="004A0B5F" w:rsidRPr="00AC0C50" w:rsidRDefault="004A0B5F" w:rsidP="00D15AA0">
            <w:pPr>
              <w:spacing w:line="276" w:lineRule="auto"/>
              <w:rPr>
                <w:rFonts w:cstheme="majorHAnsi"/>
              </w:rPr>
            </w:pPr>
            <w:r w:rsidRPr="00AC0C50">
              <w:rPr>
                <w:rFonts w:cstheme="majorHAnsi"/>
              </w:rPr>
              <w:t xml:space="preserve">Do not assume their culture dominates their identity </w:t>
            </w:r>
          </w:p>
        </w:tc>
        <w:tc>
          <w:tcPr>
            <w:tcW w:w="6095" w:type="dxa"/>
            <w:shd w:val="clear" w:color="auto" w:fill="D9D9D9" w:themeFill="background1" w:themeFillShade="D9"/>
          </w:tcPr>
          <w:p w14:paraId="052375C9" w14:textId="77777777" w:rsidR="004A0B5F" w:rsidRPr="00AC0C50" w:rsidRDefault="004A0B5F" w:rsidP="00D15AA0">
            <w:pPr>
              <w:pStyle w:val="ListParagraph"/>
              <w:numPr>
                <w:ilvl w:val="0"/>
                <w:numId w:val="23"/>
              </w:numPr>
              <w:spacing w:before="0" w:after="0" w:line="276" w:lineRule="auto"/>
              <w:rPr>
                <w:rFonts w:cstheme="majorHAnsi"/>
              </w:rPr>
            </w:pPr>
            <w:r w:rsidRPr="00AC0C50">
              <w:rPr>
                <w:rFonts w:cstheme="majorHAnsi"/>
              </w:rPr>
              <w:t>Although you should embrace the cultures of your clients, do not inflate the significance of these cultures</w:t>
            </w:r>
          </w:p>
          <w:p w14:paraId="3C6A5093" w14:textId="77777777" w:rsidR="004A0B5F" w:rsidRPr="00AC0C50" w:rsidRDefault="004A0B5F" w:rsidP="00D15AA0">
            <w:pPr>
              <w:pStyle w:val="ListParagraph"/>
              <w:numPr>
                <w:ilvl w:val="0"/>
                <w:numId w:val="23"/>
              </w:numPr>
              <w:spacing w:before="0" w:after="0" w:line="276" w:lineRule="auto"/>
              <w:rPr>
                <w:rFonts w:cstheme="majorHAnsi"/>
              </w:rPr>
            </w:pPr>
            <w:r w:rsidRPr="00AC0C50">
              <w:rPr>
                <w:rFonts w:cstheme="majorHAnsi"/>
              </w:rPr>
              <w:t>For example, the religion, sexual orientation, or ethnicity of a person may not be a central part of their identity (</w:t>
            </w:r>
            <w:proofErr w:type="spellStart"/>
            <w:r w:rsidRPr="00AC0C50">
              <w:rPr>
                <w:rFonts w:cstheme="majorHAnsi"/>
              </w:rPr>
              <w:t>Burckell</w:t>
            </w:r>
            <w:proofErr w:type="spellEnd"/>
            <w:r w:rsidRPr="00AC0C50">
              <w:rPr>
                <w:rFonts w:cstheme="majorHAnsi"/>
              </w:rPr>
              <w:t xml:space="preserve"> &amp; </w:t>
            </w:r>
            <w:proofErr w:type="spellStart"/>
            <w:r w:rsidRPr="00AC0C50">
              <w:rPr>
                <w:rFonts w:cstheme="majorHAnsi"/>
              </w:rPr>
              <w:t>Goldfried</w:t>
            </w:r>
            <w:proofErr w:type="spellEnd"/>
            <w:r w:rsidRPr="00AC0C50">
              <w:rPr>
                <w:rFonts w:cstheme="majorHAnsi"/>
              </w:rPr>
              <w:t>, 2006)</w:t>
            </w:r>
          </w:p>
          <w:p w14:paraId="55A1E5DA" w14:textId="77777777" w:rsidR="004A0B5F" w:rsidRPr="00AC0C50" w:rsidRDefault="004A0B5F" w:rsidP="00D15AA0">
            <w:pPr>
              <w:pStyle w:val="ListParagraph"/>
              <w:numPr>
                <w:ilvl w:val="0"/>
                <w:numId w:val="23"/>
              </w:numPr>
              <w:spacing w:before="0" w:after="0" w:line="276" w:lineRule="auto"/>
              <w:rPr>
                <w:rFonts w:cstheme="majorHAnsi"/>
              </w:rPr>
            </w:pPr>
            <w:r w:rsidRPr="00AC0C50">
              <w:rPr>
                <w:rFonts w:cstheme="majorHAnsi"/>
              </w:rPr>
              <w:t xml:space="preserve">Do not, therefore, devote undue attention to these characteristics </w:t>
            </w:r>
          </w:p>
        </w:tc>
      </w:tr>
      <w:tr w:rsidR="004A0B5F" w:rsidRPr="00AC0C50" w14:paraId="4ADE19A0" w14:textId="77777777" w:rsidTr="00E6619C">
        <w:tc>
          <w:tcPr>
            <w:tcW w:w="2947" w:type="dxa"/>
            <w:shd w:val="clear" w:color="auto" w:fill="D9D9D9" w:themeFill="background1" w:themeFillShade="D9"/>
          </w:tcPr>
          <w:p w14:paraId="5A88DD2C" w14:textId="77777777" w:rsidR="004A0B5F" w:rsidRPr="00AC0C50" w:rsidRDefault="004A0B5F" w:rsidP="00D15AA0">
            <w:pPr>
              <w:spacing w:line="276" w:lineRule="auto"/>
              <w:rPr>
                <w:rFonts w:cstheme="majorHAnsi"/>
              </w:rPr>
            </w:pPr>
            <w:r w:rsidRPr="00AC0C50">
              <w:rPr>
                <w:rFonts w:cstheme="majorHAnsi"/>
              </w:rPr>
              <w:t>Consult with relevant peers</w:t>
            </w:r>
          </w:p>
        </w:tc>
        <w:tc>
          <w:tcPr>
            <w:tcW w:w="6095" w:type="dxa"/>
            <w:shd w:val="clear" w:color="auto" w:fill="D9D9D9" w:themeFill="background1" w:themeFillShade="D9"/>
          </w:tcPr>
          <w:p w14:paraId="4F99C2FD" w14:textId="77777777" w:rsidR="004A0B5F" w:rsidRPr="00AC0C50" w:rsidRDefault="004A0B5F" w:rsidP="00D15AA0">
            <w:pPr>
              <w:pStyle w:val="ListParagraph"/>
              <w:numPr>
                <w:ilvl w:val="0"/>
                <w:numId w:val="23"/>
              </w:numPr>
              <w:spacing w:before="0" w:after="0" w:line="276" w:lineRule="auto"/>
              <w:rPr>
                <w:rFonts w:cstheme="majorHAnsi"/>
              </w:rPr>
            </w:pPr>
            <w:r w:rsidRPr="00AC0C50">
              <w:rPr>
                <w:rFonts w:cstheme="majorHAnsi"/>
              </w:rPr>
              <w:t>If uncertain of how to proceed, you may occasionally consult other professionals or colleagues who are members of this community or culture</w:t>
            </w:r>
          </w:p>
          <w:p w14:paraId="58DA543A" w14:textId="77777777" w:rsidR="004A0B5F" w:rsidRPr="00AC0C50" w:rsidRDefault="004A0B5F" w:rsidP="00D15AA0">
            <w:pPr>
              <w:pStyle w:val="ListParagraph"/>
              <w:numPr>
                <w:ilvl w:val="0"/>
                <w:numId w:val="23"/>
              </w:numPr>
              <w:spacing w:before="0" w:after="0" w:line="276" w:lineRule="auto"/>
              <w:rPr>
                <w:rFonts w:cstheme="majorHAnsi"/>
              </w:rPr>
            </w:pPr>
            <w:r w:rsidRPr="00AC0C50">
              <w:rPr>
                <w:rFonts w:cstheme="majorHAnsi"/>
              </w:rPr>
              <w:t>But do not assume that members of a community or culture appreciate the experiences and perspectives of all other members</w:t>
            </w:r>
          </w:p>
        </w:tc>
      </w:tr>
    </w:tbl>
    <w:p w14:paraId="3428BAE4" w14:textId="55D55B25" w:rsidR="004A0B5F" w:rsidRPr="00AC0C50" w:rsidRDefault="004A0B5F" w:rsidP="00D15AA0">
      <w:pPr>
        <w:spacing w:line="276" w:lineRule="auto"/>
        <w:rPr>
          <w:rFonts w:cstheme="majorHAnsi"/>
        </w:rPr>
      </w:pPr>
    </w:p>
    <w:p w14:paraId="751687AF" w14:textId="7C603E54" w:rsidR="004A0B5F" w:rsidRPr="00AC0C50" w:rsidRDefault="004A0B5F" w:rsidP="00D15AA0">
      <w:pPr>
        <w:spacing w:line="276" w:lineRule="auto"/>
        <w:rPr>
          <w:rFonts w:cstheme="majorHAnsi"/>
        </w:rPr>
      </w:pPr>
    </w:p>
    <w:p w14:paraId="1344232A" w14:textId="3805C578" w:rsidR="004A0B5F" w:rsidRPr="00AC0C50" w:rsidRDefault="004A0B5F" w:rsidP="00D15AA0">
      <w:pPr>
        <w:spacing w:line="276" w:lineRule="auto"/>
        <w:rPr>
          <w:rFonts w:cstheme="majorHAnsi"/>
        </w:rPr>
      </w:pPr>
    </w:p>
    <w:p w14:paraId="507563CF" w14:textId="79BC280A" w:rsidR="004A0B5F" w:rsidRPr="00AC0C50" w:rsidRDefault="004A0B5F" w:rsidP="00D15AA0">
      <w:pPr>
        <w:pStyle w:val="Heading2"/>
        <w:spacing w:line="276" w:lineRule="auto"/>
        <w:rPr>
          <w:rFonts w:asciiTheme="majorHAnsi" w:hAnsiTheme="majorHAnsi" w:cstheme="majorHAnsi"/>
        </w:rPr>
      </w:pPr>
      <w:r w:rsidRPr="00AC0C50">
        <w:rPr>
          <w:rFonts w:asciiTheme="majorHAnsi" w:hAnsiTheme="majorHAnsi" w:cstheme="majorHAnsi"/>
        </w:rPr>
        <w:t>Benefits of cultural humility</w:t>
      </w:r>
    </w:p>
    <w:p w14:paraId="4F372D0D" w14:textId="12C82005" w:rsidR="004A0B5F" w:rsidRPr="00AC0C50" w:rsidRDefault="004A0B5F" w:rsidP="00D15AA0">
      <w:pPr>
        <w:spacing w:line="276" w:lineRule="auto"/>
        <w:rPr>
          <w:rFonts w:cstheme="majorHAnsi"/>
          <w:lang w:val="en-AU"/>
        </w:rPr>
      </w:pPr>
    </w:p>
    <w:p w14:paraId="132AA4B2" w14:textId="77777777" w:rsidR="004A0B5F" w:rsidRPr="00AC0C50" w:rsidRDefault="004A0B5F" w:rsidP="00D15AA0">
      <w:pPr>
        <w:spacing w:line="276" w:lineRule="auto"/>
        <w:rPr>
          <w:rFonts w:cstheme="majorHAnsi"/>
          <w:szCs w:val="22"/>
        </w:rPr>
      </w:pPr>
      <w:r w:rsidRPr="00AC0C50">
        <w:rPr>
          <w:rFonts w:cstheme="majorHAnsi"/>
          <w:szCs w:val="22"/>
        </w:rPr>
        <w:t xml:space="preserve">Many researchers and practitioners have promulgated the benefits of cultural humility.  That is, cultural humility helps both the </w:t>
      </w:r>
    </w:p>
    <w:p w14:paraId="65FD072C" w14:textId="77777777" w:rsidR="004A0B5F" w:rsidRPr="00AC0C50" w:rsidRDefault="004A0B5F" w:rsidP="00D15AA0">
      <w:pPr>
        <w:spacing w:line="276" w:lineRule="auto"/>
        <w:rPr>
          <w:rFonts w:cstheme="majorHAnsi"/>
          <w:szCs w:val="22"/>
        </w:rPr>
      </w:pPr>
    </w:p>
    <w:p w14:paraId="37090567" w14:textId="77777777" w:rsidR="004A0B5F" w:rsidRPr="00AC0C50" w:rsidRDefault="004A0B5F" w:rsidP="00D15AA0">
      <w:pPr>
        <w:pStyle w:val="ListParagraph"/>
        <w:numPr>
          <w:ilvl w:val="0"/>
          <w:numId w:val="28"/>
        </w:numPr>
        <w:spacing w:before="0" w:after="0" w:line="276" w:lineRule="auto"/>
        <w:rPr>
          <w:rFonts w:cstheme="majorHAnsi"/>
          <w:szCs w:val="22"/>
        </w:rPr>
      </w:pPr>
      <w:r w:rsidRPr="00AC0C50">
        <w:rPr>
          <w:rFonts w:cstheme="majorHAnsi"/>
          <w:szCs w:val="22"/>
        </w:rPr>
        <w:t>clients feel they can explore the implications of their culture—such as how their culture might affect their confidence in the workplace—called cultural opportunities</w:t>
      </w:r>
    </w:p>
    <w:p w14:paraId="70211D7A" w14:textId="77777777" w:rsidR="004A0B5F" w:rsidRPr="00AC0C50" w:rsidRDefault="004A0B5F" w:rsidP="00D15AA0">
      <w:pPr>
        <w:pStyle w:val="ListParagraph"/>
        <w:numPr>
          <w:ilvl w:val="0"/>
          <w:numId w:val="28"/>
        </w:numPr>
        <w:spacing w:before="0" w:after="0" w:line="276" w:lineRule="auto"/>
        <w:rPr>
          <w:rFonts w:cstheme="majorHAnsi"/>
          <w:szCs w:val="22"/>
        </w:rPr>
      </w:pPr>
      <w:r w:rsidRPr="00AC0C50">
        <w:rPr>
          <w:rFonts w:cstheme="majorHAnsi"/>
          <w:szCs w:val="22"/>
        </w:rPr>
        <w:t>service providers, such as supervisors or health practitioners, feel at ease when discussing matters that relate to culture—called cultural comfort (Hook et al 2017).</w:t>
      </w:r>
    </w:p>
    <w:p w14:paraId="4174C216" w14:textId="77777777" w:rsidR="004A0B5F" w:rsidRPr="00AC0C50" w:rsidRDefault="004A0B5F" w:rsidP="00D15AA0">
      <w:pPr>
        <w:spacing w:line="276" w:lineRule="auto"/>
        <w:rPr>
          <w:rFonts w:cstheme="majorHAnsi"/>
          <w:szCs w:val="22"/>
        </w:rPr>
      </w:pPr>
    </w:p>
    <w:p w14:paraId="3746AE12" w14:textId="77777777" w:rsidR="004A0B5F" w:rsidRPr="00AC0C50" w:rsidRDefault="004A0B5F" w:rsidP="00D15AA0">
      <w:pPr>
        <w:spacing w:line="276" w:lineRule="auto"/>
        <w:rPr>
          <w:rFonts w:cstheme="majorHAnsi"/>
          <w:szCs w:val="22"/>
        </w:rPr>
      </w:pPr>
      <w:r w:rsidRPr="00AC0C50">
        <w:rPr>
          <w:rFonts w:cstheme="majorHAnsi"/>
          <w:szCs w:val="22"/>
        </w:rPr>
        <w:t xml:space="preserve">In addition, when service providers exhibit cultural humility, they recognize the limitations in their knowledge about cultures.  Consequently, they become more receptive to information about cultures, enhancing their knowledge and insight over time (e.g., Abbott, </w:t>
      </w:r>
      <w:proofErr w:type="spellStart"/>
      <w:r w:rsidRPr="00AC0C50">
        <w:rPr>
          <w:rFonts w:cstheme="majorHAnsi"/>
          <w:szCs w:val="22"/>
        </w:rPr>
        <w:t>Pelc</w:t>
      </w:r>
      <w:proofErr w:type="spellEnd"/>
      <w:r w:rsidRPr="00AC0C50">
        <w:rPr>
          <w:rFonts w:cstheme="majorHAnsi"/>
          <w:szCs w:val="22"/>
        </w:rPr>
        <w:t>, &amp; Mercier, 2019).  Indeed, many studies have substantiated the benefits of cultural humility.  That is, cultural humility in service providers</w:t>
      </w:r>
    </w:p>
    <w:p w14:paraId="2D90A77B" w14:textId="77777777" w:rsidR="004A0B5F" w:rsidRPr="00AC0C50" w:rsidRDefault="004A0B5F" w:rsidP="00D15AA0">
      <w:pPr>
        <w:spacing w:line="276" w:lineRule="auto"/>
        <w:ind w:firstLine="360"/>
        <w:rPr>
          <w:rFonts w:cstheme="majorHAnsi"/>
          <w:szCs w:val="22"/>
        </w:rPr>
      </w:pPr>
    </w:p>
    <w:p w14:paraId="2175E357" w14:textId="77777777" w:rsidR="004A0B5F" w:rsidRPr="00AC0C50" w:rsidRDefault="004A0B5F" w:rsidP="00D15AA0">
      <w:pPr>
        <w:pStyle w:val="ListParagraph"/>
        <w:numPr>
          <w:ilvl w:val="0"/>
          <w:numId w:val="29"/>
        </w:numPr>
        <w:spacing w:before="0" w:after="0" w:line="276" w:lineRule="auto"/>
        <w:rPr>
          <w:rFonts w:cstheme="majorHAnsi"/>
          <w:szCs w:val="22"/>
        </w:rPr>
      </w:pPr>
      <w:r w:rsidRPr="00AC0C50">
        <w:rPr>
          <w:rFonts w:cstheme="majorHAnsi"/>
          <w:szCs w:val="22"/>
        </w:rPr>
        <w:t>improves the therapeutic alliance between health practitioners and clients (Hook et al. 2013)</w:t>
      </w:r>
    </w:p>
    <w:p w14:paraId="429F4949" w14:textId="77777777" w:rsidR="004A0B5F" w:rsidRPr="00AC0C50" w:rsidRDefault="004A0B5F" w:rsidP="00D15AA0">
      <w:pPr>
        <w:pStyle w:val="ListParagraph"/>
        <w:numPr>
          <w:ilvl w:val="0"/>
          <w:numId w:val="29"/>
        </w:numPr>
        <w:spacing w:before="0" w:after="0" w:line="276" w:lineRule="auto"/>
        <w:rPr>
          <w:rFonts w:cstheme="majorHAnsi"/>
          <w:szCs w:val="22"/>
        </w:rPr>
      </w:pPr>
      <w:r w:rsidRPr="00AC0C50">
        <w:rPr>
          <w:rFonts w:cstheme="majorHAnsi"/>
          <w:szCs w:val="22"/>
        </w:rPr>
        <w:t>improves the likelihood that clients will benefit from interactions with mental health practitioners (Hook et al. 2013)</w:t>
      </w:r>
    </w:p>
    <w:p w14:paraId="73CB56B3" w14:textId="77777777" w:rsidR="004A0B5F" w:rsidRPr="00AC0C50" w:rsidRDefault="004A0B5F" w:rsidP="00D15AA0">
      <w:pPr>
        <w:pStyle w:val="ListParagraph"/>
        <w:numPr>
          <w:ilvl w:val="0"/>
          <w:numId w:val="29"/>
        </w:numPr>
        <w:spacing w:before="0" w:after="0" w:line="276" w:lineRule="auto"/>
        <w:rPr>
          <w:rFonts w:cstheme="majorHAnsi"/>
          <w:szCs w:val="22"/>
        </w:rPr>
      </w:pPr>
      <w:r w:rsidRPr="00AC0C50">
        <w:rPr>
          <w:rFonts w:cstheme="majorHAnsi"/>
          <w:szCs w:val="22"/>
        </w:rPr>
        <w:t>diminishes the likelihood they may offend or insult the client inadvertently (Davis et al., 2016)</w:t>
      </w:r>
    </w:p>
    <w:p w14:paraId="2281208E" w14:textId="3F5E8B0C" w:rsidR="004A0B5F" w:rsidRPr="00AC0C50" w:rsidRDefault="004A0B5F" w:rsidP="00D15AA0">
      <w:pPr>
        <w:spacing w:line="276" w:lineRule="auto"/>
        <w:rPr>
          <w:rFonts w:cstheme="majorHAnsi"/>
          <w:lang w:val="en-AU"/>
        </w:rPr>
      </w:pPr>
    </w:p>
    <w:p w14:paraId="2D737BCD" w14:textId="42612511" w:rsidR="00AC0C50" w:rsidRPr="00AC0C50" w:rsidRDefault="00AC0C50" w:rsidP="00D15AA0">
      <w:pPr>
        <w:spacing w:line="276" w:lineRule="auto"/>
        <w:rPr>
          <w:rFonts w:cstheme="majorHAnsi"/>
          <w:lang w:val="en-AU"/>
        </w:rPr>
      </w:pPr>
    </w:p>
    <w:p w14:paraId="23D7C7FE" w14:textId="28203018" w:rsidR="00AC0C50" w:rsidRPr="00AC0C50" w:rsidRDefault="00AC0C50" w:rsidP="00D15AA0">
      <w:pPr>
        <w:spacing w:line="276" w:lineRule="auto"/>
        <w:rPr>
          <w:rFonts w:cstheme="majorHAnsi"/>
          <w:lang w:val="en-AU"/>
        </w:rPr>
      </w:pPr>
    </w:p>
    <w:p w14:paraId="3098CF3C" w14:textId="77777777" w:rsidR="00D15AA0" w:rsidRDefault="00D15AA0">
      <w:pPr>
        <w:rPr>
          <w:rFonts w:eastAsiaTheme="minorHAnsi" w:cstheme="majorHAnsi"/>
          <w:color w:val="201645" w:themeColor="background2"/>
          <w:sz w:val="40"/>
          <w:szCs w:val="22"/>
          <w:lang w:val="en-AU"/>
        </w:rPr>
      </w:pPr>
      <w:r>
        <w:rPr>
          <w:rFonts w:cstheme="majorHAnsi"/>
        </w:rPr>
        <w:br w:type="page"/>
      </w:r>
    </w:p>
    <w:p w14:paraId="5795AF16" w14:textId="68521913" w:rsidR="00AC0C50" w:rsidRPr="00AC0C50" w:rsidRDefault="00AC0C50" w:rsidP="00D15AA0">
      <w:pPr>
        <w:pStyle w:val="Subhead"/>
        <w:spacing w:line="276" w:lineRule="auto"/>
        <w:rPr>
          <w:rFonts w:cstheme="majorHAnsi"/>
        </w:rPr>
      </w:pPr>
      <w:r w:rsidRPr="00AC0C50">
        <w:rPr>
          <w:rFonts w:cstheme="majorHAnsi"/>
        </w:rPr>
        <w:lastRenderedPageBreak/>
        <w:t>CULTURAL SAFETY</w:t>
      </w:r>
    </w:p>
    <w:p w14:paraId="7E41FBB4" w14:textId="0A342DA2" w:rsidR="00AC0C50" w:rsidRPr="00AC0C50" w:rsidRDefault="00AC0C50" w:rsidP="00D15AA0">
      <w:pPr>
        <w:pStyle w:val="Heading2"/>
        <w:spacing w:line="276" w:lineRule="auto"/>
        <w:rPr>
          <w:rFonts w:asciiTheme="majorHAnsi" w:hAnsiTheme="majorHAnsi" w:cstheme="majorHAnsi"/>
        </w:rPr>
      </w:pPr>
      <w:r w:rsidRPr="00AC0C50">
        <w:rPr>
          <w:rFonts w:asciiTheme="majorHAnsi" w:hAnsiTheme="majorHAnsi" w:cstheme="majorHAnsi"/>
        </w:rPr>
        <w:t>Introduction</w:t>
      </w:r>
    </w:p>
    <w:p w14:paraId="0EC762D7" w14:textId="1227946C" w:rsidR="00AC0C50" w:rsidRPr="00AC0C50" w:rsidRDefault="00AC0C50" w:rsidP="00D15AA0">
      <w:pPr>
        <w:spacing w:line="276" w:lineRule="auto"/>
        <w:rPr>
          <w:rFonts w:cstheme="majorHAnsi"/>
          <w:lang w:val="en-AU"/>
        </w:rPr>
      </w:pPr>
    </w:p>
    <w:p w14:paraId="0B24D261" w14:textId="77777777" w:rsidR="00AC0C50" w:rsidRPr="00AC0C50" w:rsidRDefault="00AC0C50" w:rsidP="00D15AA0">
      <w:pPr>
        <w:spacing w:line="276" w:lineRule="auto"/>
        <w:rPr>
          <w:rFonts w:eastAsiaTheme="minorHAnsi" w:cstheme="majorHAnsi"/>
          <w:szCs w:val="22"/>
        </w:rPr>
      </w:pPr>
      <w:r w:rsidRPr="00AC0C50">
        <w:rPr>
          <w:rFonts w:eastAsiaTheme="minorHAnsi" w:cstheme="majorHAnsi"/>
          <w:szCs w:val="22"/>
        </w:rPr>
        <w:t xml:space="preserve">Cultural humility, although often beneficial, does not address all the prejudices and injustices that societies have perpetrated on diverse communities.  In contrast, cultural safety is a complementary perspective that could partly address some of this discrimination.  </w:t>
      </w:r>
    </w:p>
    <w:p w14:paraId="1EA79C39" w14:textId="77777777" w:rsidR="00AC0C50" w:rsidRPr="00AC0C50" w:rsidRDefault="00AC0C50" w:rsidP="00D15AA0">
      <w:pPr>
        <w:spacing w:line="276" w:lineRule="auto"/>
        <w:rPr>
          <w:rFonts w:eastAsiaTheme="minorHAnsi" w:cstheme="majorHAnsi"/>
          <w:szCs w:val="22"/>
        </w:rPr>
      </w:pPr>
    </w:p>
    <w:p w14:paraId="1F20E70A" w14:textId="77777777" w:rsidR="00AC0C50" w:rsidRPr="00AC0C50" w:rsidRDefault="00AC0C50" w:rsidP="00D15AA0">
      <w:pPr>
        <w:spacing w:line="276" w:lineRule="auto"/>
        <w:rPr>
          <w:rFonts w:eastAsiaTheme="minorHAnsi" w:cstheme="majorHAnsi"/>
          <w:b/>
          <w:bCs/>
          <w:szCs w:val="22"/>
        </w:rPr>
      </w:pPr>
      <w:r w:rsidRPr="00AC0C50">
        <w:rPr>
          <w:rFonts w:eastAsiaTheme="minorHAnsi" w:cstheme="majorHAnsi"/>
          <w:b/>
          <w:bCs/>
          <w:szCs w:val="22"/>
        </w:rPr>
        <w:t>Cultural competence</w:t>
      </w:r>
    </w:p>
    <w:p w14:paraId="4C4C242D" w14:textId="77777777" w:rsidR="00AC0C50" w:rsidRPr="00AC0C50" w:rsidRDefault="00AC0C50" w:rsidP="00D15AA0">
      <w:pPr>
        <w:spacing w:line="276" w:lineRule="auto"/>
        <w:rPr>
          <w:rFonts w:eastAsiaTheme="minorHAnsi" w:cstheme="majorHAnsi"/>
          <w:szCs w:val="22"/>
        </w:rPr>
      </w:pPr>
    </w:p>
    <w:p w14:paraId="2014BF5F" w14:textId="77777777" w:rsidR="00AC0C50" w:rsidRPr="00AC0C50" w:rsidRDefault="00AC0C50" w:rsidP="00D15AA0">
      <w:pPr>
        <w:spacing w:line="276" w:lineRule="auto"/>
        <w:rPr>
          <w:rFonts w:eastAsiaTheme="minorHAnsi" w:cstheme="majorHAnsi"/>
          <w:szCs w:val="22"/>
        </w:rPr>
      </w:pPr>
      <w:r w:rsidRPr="00AC0C50">
        <w:rPr>
          <w:rFonts w:eastAsiaTheme="minorHAnsi" w:cstheme="majorHAnsi"/>
          <w:szCs w:val="22"/>
        </w:rPr>
        <w:t xml:space="preserve">Like cultural humility, the discussion of cultural safety emanated from dissatisfaction with the notion of cultural competence.  Admittedly, the notion of cultural competence is multifaceted.  Scholars have applied many definitions, and invoked many theoretical perspectives, to delineate this notion.  Nevertheless, scholars originally </w:t>
      </w:r>
      <w:proofErr w:type="spellStart"/>
      <w:r w:rsidRPr="00AC0C50">
        <w:rPr>
          <w:rFonts w:eastAsiaTheme="minorHAnsi" w:cstheme="majorHAnsi"/>
          <w:szCs w:val="22"/>
        </w:rPr>
        <w:t>conceptualised</w:t>
      </w:r>
      <w:proofErr w:type="spellEnd"/>
      <w:r w:rsidRPr="00AC0C50">
        <w:rPr>
          <w:rFonts w:eastAsiaTheme="minorHAnsi" w:cstheme="majorHAnsi"/>
          <w:szCs w:val="22"/>
        </w:rPr>
        <w:t xml:space="preserve"> cultural competence as a set of </w:t>
      </w:r>
      <w:proofErr w:type="spellStart"/>
      <w:r w:rsidRPr="00AC0C50">
        <w:rPr>
          <w:rFonts w:eastAsiaTheme="minorHAnsi" w:cstheme="majorHAnsi"/>
          <w:szCs w:val="22"/>
        </w:rPr>
        <w:t>behaviours</w:t>
      </w:r>
      <w:proofErr w:type="spellEnd"/>
      <w:r w:rsidRPr="00AC0C50">
        <w:rPr>
          <w:rFonts w:eastAsiaTheme="minorHAnsi" w:cstheme="majorHAnsi"/>
          <w:szCs w:val="22"/>
        </w:rPr>
        <w:t xml:space="preserve">, attitudes, and policies that enable individuals, organizations, or systems to work effectively with diverse cultures (for a review, see Curtis et al., 2019).  This broad definition overlapped with a variety of other terms, such as cultural sensitivity, cultural awareness, cultural respect, cultural adaptation, and transcultural competence.  </w:t>
      </w:r>
    </w:p>
    <w:p w14:paraId="56FE5E00" w14:textId="77777777" w:rsidR="00AC0C50" w:rsidRPr="00AC0C50" w:rsidRDefault="00AC0C50" w:rsidP="00D15AA0">
      <w:pPr>
        <w:spacing w:line="276" w:lineRule="auto"/>
        <w:rPr>
          <w:rFonts w:eastAsiaTheme="minorHAnsi" w:cstheme="majorHAnsi"/>
          <w:szCs w:val="22"/>
        </w:rPr>
      </w:pPr>
    </w:p>
    <w:p w14:paraId="77691291" w14:textId="77777777" w:rsidR="00AC0C50" w:rsidRPr="00AC0C50" w:rsidRDefault="00AC0C50" w:rsidP="00D15AA0">
      <w:pPr>
        <w:spacing w:line="276" w:lineRule="auto"/>
        <w:rPr>
          <w:rFonts w:eastAsiaTheme="minorHAnsi" w:cstheme="majorHAnsi"/>
          <w:b/>
          <w:bCs/>
          <w:szCs w:val="22"/>
        </w:rPr>
      </w:pPr>
      <w:r w:rsidRPr="00AC0C50">
        <w:rPr>
          <w:rFonts w:eastAsiaTheme="minorHAnsi" w:cstheme="majorHAnsi"/>
          <w:b/>
          <w:bCs/>
          <w:szCs w:val="22"/>
        </w:rPr>
        <w:t>Limitations of cultural competence</w:t>
      </w:r>
    </w:p>
    <w:p w14:paraId="14FA4C73" w14:textId="77777777" w:rsidR="00AC0C50" w:rsidRPr="00AC0C50" w:rsidRDefault="00AC0C50" w:rsidP="00D15AA0">
      <w:pPr>
        <w:spacing w:line="276" w:lineRule="auto"/>
        <w:rPr>
          <w:rFonts w:eastAsiaTheme="minorHAnsi" w:cstheme="majorHAnsi"/>
          <w:b/>
          <w:bCs/>
          <w:szCs w:val="22"/>
        </w:rPr>
      </w:pPr>
    </w:p>
    <w:p w14:paraId="61539059" w14:textId="77777777" w:rsidR="00AC0C50" w:rsidRPr="00AC0C50" w:rsidRDefault="00AC0C50" w:rsidP="00D15AA0">
      <w:pPr>
        <w:spacing w:line="276" w:lineRule="auto"/>
        <w:rPr>
          <w:rFonts w:eastAsiaTheme="minorHAnsi" w:cstheme="majorHAnsi"/>
          <w:szCs w:val="22"/>
        </w:rPr>
      </w:pPr>
      <w:r w:rsidRPr="00AC0C50">
        <w:rPr>
          <w:rFonts w:eastAsiaTheme="minorHAnsi" w:cstheme="majorHAnsi"/>
          <w:szCs w:val="22"/>
        </w:rPr>
        <w:t xml:space="preserve">Despite the breadth of this notion, many researchers and practitioners regarded cultural competence as primarily a capability that individuals develop.  That is, they assumed that cultural competence entails knowledge about other cultures as well as skills and attitudes to work effectively, empathically, and compassionately with other cultures.  Thus, they presumed that practitioners and employees can develop cultural competence—like they can develop some other capability, such as the ability to perform trigonometry.  The following table outlines some of the adverse consequences of this perspective. </w:t>
      </w:r>
    </w:p>
    <w:p w14:paraId="4892DA96" w14:textId="6DE38A02" w:rsidR="00D15AA0" w:rsidRDefault="00D15AA0">
      <w:pPr>
        <w:rPr>
          <w:rFonts w:cstheme="majorHAnsi"/>
          <w:szCs w:val="22"/>
        </w:rPr>
      </w:pPr>
      <w:r>
        <w:rPr>
          <w:rFonts w:cstheme="majorHAnsi"/>
          <w:szCs w:val="22"/>
        </w:rPr>
        <w:br w:type="page"/>
      </w:r>
    </w:p>
    <w:p w14:paraId="4D325215" w14:textId="77777777" w:rsidR="00AC0C50" w:rsidRDefault="00AC0C50" w:rsidP="00D15AA0">
      <w:pPr>
        <w:spacing w:line="276" w:lineRule="auto"/>
        <w:rPr>
          <w:rFonts w:cstheme="majorHAnsi"/>
          <w:szCs w:val="22"/>
        </w:rPr>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2947"/>
        <w:gridCol w:w="6095"/>
      </w:tblGrid>
      <w:tr w:rsidR="00AC0C50" w:rsidRPr="00AC0C50" w14:paraId="0F56D92F" w14:textId="77777777" w:rsidTr="00E6619C">
        <w:tc>
          <w:tcPr>
            <w:tcW w:w="2947" w:type="dxa"/>
            <w:shd w:val="clear" w:color="auto" w:fill="C6EBD6" w:themeFill="accent5" w:themeFillTint="66"/>
          </w:tcPr>
          <w:p w14:paraId="44D89504" w14:textId="77777777" w:rsidR="00AC0C50" w:rsidRPr="00AC0C50" w:rsidRDefault="00AC0C50" w:rsidP="00D15AA0">
            <w:pPr>
              <w:spacing w:line="276" w:lineRule="auto"/>
              <w:jc w:val="center"/>
              <w:rPr>
                <w:rFonts w:cstheme="majorHAnsi"/>
              </w:rPr>
            </w:pPr>
            <w:r w:rsidRPr="00AC0C50">
              <w:rPr>
                <w:rFonts w:cstheme="majorHAnsi"/>
              </w:rPr>
              <w:t>Problem</w:t>
            </w:r>
          </w:p>
        </w:tc>
        <w:tc>
          <w:tcPr>
            <w:tcW w:w="6095" w:type="dxa"/>
            <w:shd w:val="clear" w:color="auto" w:fill="C6EBD6" w:themeFill="accent5" w:themeFillTint="66"/>
          </w:tcPr>
          <w:p w14:paraId="43D9A334" w14:textId="77777777" w:rsidR="00AC0C50" w:rsidRPr="00AC0C50" w:rsidRDefault="00AC0C50" w:rsidP="00D15AA0">
            <w:pPr>
              <w:spacing w:line="276" w:lineRule="auto"/>
              <w:jc w:val="center"/>
              <w:rPr>
                <w:rFonts w:cstheme="majorHAnsi"/>
              </w:rPr>
            </w:pPr>
            <w:r w:rsidRPr="00AC0C50">
              <w:rPr>
                <w:rFonts w:cstheme="majorHAnsi"/>
              </w:rPr>
              <w:t>Details</w:t>
            </w:r>
          </w:p>
        </w:tc>
      </w:tr>
      <w:tr w:rsidR="00AC0C50" w:rsidRPr="00AC0C50" w14:paraId="142954F9" w14:textId="77777777" w:rsidTr="00E6619C">
        <w:tc>
          <w:tcPr>
            <w:tcW w:w="2947" w:type="dxa"/>
            <w:shd w:val="clear" w:color="auto" w:fill="D9D9D9" w:themeFill="background1" w:themeFillShade="D9"/>
          </w:tcPr>
          <w:p w14:paraId="11D6AB01" w14:textId="77777777" w:rsidR="00AC0C50" w:rsidRPr="00AC0C50" w:rsidRDefault="00AC0C50" w:rsidP="00D15AA0">
            <w:pPr>
              <w:spacing w:line="276" w:lineRule="auto"/>
              <w:rPr>
                <w:rFonts w:eastAsiaTheme="minorHAnsi" w:cstheme="majorHAnsi"/>
              </w:rPr>
            </w:pPr>
            <w:r w:rsidRPr="00AC0C50">
              <w:rPr>
                <w:rFonts w:eastAsiaTheme="minorHAnsi" w:cstheme="majorHAnsi"/>
              </w:rPr>
              <w:t>Differentiates people from themselves</w:t>
            </w:r>
          </w:p>
          <w:p w14:paraId="736B116A" w14:textId="77777777" w:rsidR="00AC0C50" w:rsidRPr="00AC0C50" w:rsidRDefault="00AC0C50" w:rsidP="00D15AA0">
            <w:pPr>
              <w:spacing w:line="276" w:lineRule="auto"/>
              <w:rPr>
                <w:rFonts w:cstheme="majorHAnsi"/>
              </w:rPr>
            </w:pPr>
          </w:p>
        </w:tc>
        <w:tc>
          <w:tcPr>
            <w:tcW w:w="6095" w:type="dxa"/>
            <w:shd w:val="clear" w:color="auto" w:fill="D9D9D9" w:themeFill="background1" w:themeFillShade="D9"/>
          </w:tcPr>
          <w:p w14:paraId="6D87F75B" w14:textId="77777777" w:rsidR="00AC0C50" w:rsidRPr="00AC0C50" w:rsidRDefault="00AC0C50" w:rsidP="00D15AA0">
            <w:pPr>
              <w:pStyle w:val="ListParagraph"/>
              <w:numPr>
                <w:ilvl w:val="0"/>
                <w:numId w:val="30"/>
              </w:numPr>
              <w:spacing w:before="0" w:after="0" w:line="276" w:lineRule="auto"/>
              <w:rPr>
                <w:rFonts w:cstheme="majorHAnsi"/>
              </w:rPr>
            </w:pPr>
            <w:r w:rsidRPr="00AC0C50">
              <w:rPr>
                <w:rFonts w:cstheme="majorHAnsi"/>
              </w:rPr>
              <w:t xml:space="preserve">When practitioners or employees learn about cultural competence, they perceive themselves as fundamentally distinct from members of diverse communities.  Hence, they might inadvertently </w:t>
            </w:r>
            <w:proofErr w:type="spellStart"/>
            <w:r w:rsidRPr="00AC0C50">
              <w:rPr>
                <w:rFonts w:cstheme="majorHAnsi"/>
              </w:rPr>
              <w:t>marginalise</w:t>
            </w:r>
            <w:proofErr w:type="spellEnd"/>
            <w:r w:rsidRPr="00AC0C50">
              <w:rPr>
                <w:rFonts w:cstheme="majorHAnsi"/>
              </w:rPr>
              <w:t xml:space="preserve"> or alienate members of these communities</w:t>
            </w:r>
          </w:p>
        </w:tc>
      </w:tr>
      <w:tr w:rsidR="00AC0C50" w:rsidRPr="00AC0C50" w14:paraId="3728FBA8" w14:textId="77777777" w:rsidTr="00E6619C">
        <w:tc>
          <w:tcPr>
            <w:tcW w:w="2947" w:type="dxa"/>
            <w:shd w:val="clear" w:color="auto" w:fill="D9D9D9" w:themeFill="background1" w:themeFillShade="D9"/>
          </w:tcPr>
          <w:p w14:paraId="10AD9220" w14:textId="77777777" w:rsidR="00AC0C50" w:rsidRPr="00AC0C50" w:rsidRDefault="00AC0C50" w:rsidP="00D15AA0">
            <w:pPr>
              <w:spacing w:line="276" w:lineRule="auto"/>
              <w:rPr>
                <w:rFonts w:eastAsiaTheme="minorHAnsi" w:cstheme="majorHAnsi"/>
              </w:rPr>
            </w:pPr>
            <w:r w:rsidRPr="00AC0C50">
              <w:rPr>
                <w:rFonts w:eastAsiaTheme="minorHAnsi" w:cstheme="majorHAnsi"/>
              </w:rPr>
              <w:t>Homogeneity of cultures</w:t>
            </w:r>
          </w:p>
        </w:tc>
        <w:tc>
          <w:tcPr>
            <w:tcW w:w="6095" w:type="dxa"/>
            <w:shd w:val="clear" w:color="auto" w:fill="D9D9D9" w:themeFill="background1" w:themeFillShade="D9"/>
          </w:tcPr>
          <w:p w14:paraId="6DCB9BE8" w14:textId="77777777" w:rsidR="00AC0C50" w:rsidRPr="00AC0C50" w:rsidRDefault="00AC0C50" w:rsidP="00D15AA0">
            <w:pPr>
              <w:pStyle w:val="ListParagraph"/>
              <w:numPr>
                <w:ilvl w:val="0"/>
                <w:numId w:val="30"/>
              </w:numPr>
              <w:spacing w:before="0" w:after="0" w:line="276" w:lineRule="auto"/>
              <w:rPr>
                <w:rFonts w:cstheme="majorHAnsi"/>
              </w:rPr>
            </w:pPr>
            <w:r w:rsidRPr="00AC0C50">
              <w:rPr>
                <w:rFonts w:cstheme="majorHAnsi"/>
              </w:rPr>
              <w:t>When practitioners or employees learn about cultural competence, they may tend to homogenize some diverse cultures.  They might, for instance, learn a few insights about a community—and then assume the majority of members share these characteristics.  Hence, they might overlook the distinct needs and circumstances of each person.</w:t>
            </w:r>
          </w:p>
        </w:tc>
      </w:tr>
      <w:tr w:rsidR="00D15AA0" w:rsidRPr="00AC0C50" w14:paraId="153944A3" w14:textId="77777777" w:rsidTr="00E6619C">
        <w:tc>
          <w:tcPr>
            <w:tcW w:w="2947" w:type="dxa"/>
            <w:shd w:val="clear" w:color="auto" w:fill="D9D9D9" w:themeFill="background1" w:themeFillShade="D9"/>
          </w:tcPr>
          <w:p w14:paraId="39344801" w14:textId="72ADD72A" w:rsidR="00D15AA0" w:rsidRPr="00AC0C50" w:rsidRDefault="00D15AA0" w:rsidP="00D15AA0">
            <w:pPr>
              <w:spacing w:line="276" w:lineRule="auto"/>
              <w:rPr>
                <w:rFonts w:eastAsiaTheme="minorHAnsi" w:cstheme="majorHAnsi"/>
              </w:rPr>
            </w:pPr>
            <w:r w:rsidRPr="00D15AA0">
              <w:rPr>
                <w:rFonts w:cstheme="majorHAnsi"/>
              </w:rPr>
              <w:t>Dismiss the forces that promote injustice and disadvantage</w:t>
            </w:r>
          </w:p>
        </w:tc>
        <w:tc>
          <w:tcPr>
            <w:tcW w:w="6095" w:type="dxa"/>
            <w:shd w:val="clear" w:color="auto" w:fill="D9D9D9" w:themeFill="background1" w:themeFillShade="D9"/>
          </w:tcPr>
          <w:p w14:paraId="25BB159F" w14:textId="70B13BFC" w:rsidR="00D15AA0" w:rsidRPr="00AC0C50" w:rsidRDefault="00D15AA0" w:rsidP="00D15AA0">
            <w:pPr>
              <w:pStyle w:val="ListParagraph"/>
              <w:numPr>
                <w:ilvl w:val="0"/>
                <w:numId w:val="30"/>
              </w:numPr>
              <w:spacing w:before="0" w:after="0" w:line="276" w:lineRule="auto"/>
              <w:rPr>
                <w:rFonts w:cstheme="majorHAnsi"/>
              </w:rPr>
            </w:pPr>
            <w:r w:rsidRPr="00D15AA0">
              <w:rPr>
                <w:rFonts w:cstheme="majorHAnsi"/>
              </w:rPr>
              <w:t xml:space="preserve">When practitioners or employees learn about cultural competence, they often, albeit inadvertently, ascribe the challenges that communities experience to the deficits or shortcomings of these communities.  They might overlook how governments, institutions, and practices have engendered and exacerbated these challenges.  They could minimize the impact of disparities in power on the capacity of communities to achieve their goals.  </w:t>
            </w:r>
          </w:p>
        </w:tc>
      </w:tr>
      <w:tr w:rsidR="00D15AA0" w:rsidRPr="00AC0C50" w14:paraId="02AE0F06" w14:textId="77777777" w:rsidTr="00E6619C">
        <w:tc>
          <w:tcPr>
            <w:tcW w:w="2947" w:type="dxa"/>
            <w:shd w:val="clear" w:color="auto" w:fill="D9D9D9" w:themeFill="background1" w:themeFillShade="D9"/>
          </w:tcPr>
          <w:p w14:paraId="4FFC69A4" w14:textId="012EB261" w:rsidR="00D15AA0" w:rsidRPr="00AC0C50" w:rsidRDefault="00D15AA0" w:rsidP="00D15AA0">
            <w:pPr>
              <w:spacing w:line="276" w:lineRule="auto"/>
              <w:rPr>
                <w:rFonts w:eastAsiaTheme="minorHAnsi" w:cstheme="majorHAnsi"/>
              </w:rPr>
            </w:pPr>
            <w:r w:rsidRPr="00D15AA0">
              <w:rPr>
                <w:rFonts w:cstheme="majorHAnsi"/>
              </w:rPr>
              <w:t>Diminished reflection</w:t>
            </w:r>
          </w:p>
        </w:tc>
        <w:tc>
          <w:tcPr>
            <w:tcW w:w="6095" w:type="dxa"/>
            <w:shd w:val="clear" w:color="auto" w:fill="D9D9D9" w:themeFill="background1" w:themeFillShade="D9"/>
          </w:tcPr>
          <w:p w14:paraId="216D8C5A" w14:textId="0829ACE7" w:rsidR="00D15AA0" w:rsidRPr="00AC0C50" w:rsidRDefault="00D15AA0" w:rsidP="00D15AA0">
            <w:pPr>
              <w:pStyle w:val="ListParagraph"/>
              <w:numPr>
                <w:ilvl w:val="0"/>
                <w:numId w:val="30"/>
              </w:numPr>
              <w:spacing w:before="0" w:after="0" w:line="276" w:lineRule="auto"/>
              <w:rPr>
                <w:rFonts w:cstheme="majorHAnsi"/>
              </w:rPr>
            </w:pPr>
            <w:r w:rsidRPr="00D15AA0">
              <w:rPr>
                <w:rFonts w:cstheme="majorHAnsi"/>
              </w:rPr>
              <w:t xml:space="preserve">When practitioners or employees learn about cultural competence, they sometimes overestimate the capacities to interact appropriately with diverse cultures.  They may, therefore, not reflect enough on the effects of their </w:t>
            </w:r>
            <w:proofErr w:type="spellStart"/>
            <w:r w:rsidRPr="00D15AA0">
              <w:rPr>
                <w:rFonts w:cstheme="majorHAnsi"/>
              </w:rPr>
              <w:t>behaviour</w:t>
            </w:r>
            <w:proofErr w:type="spellEnd"/>
            <w:r w:rsidRPr="00D15AA0">
              <w:rPr>
                <w:rFonts w:cstheme="majorHAnsi"/>
              </w:rPr>
              <w:t xml:space="preserve">, attitudes, or society on diverse communities.   </w:t>
            </w:r>
          </w:p>
        </w:tc>
      </w:tr>
    </w:tbl>
    <w:p w14:paraId="49CA5D36" w14:textId="0042CA49" w:rsidR="00AC0C50" w:rsidRPr="00AC0C50" w:rsidRDefault="00AC0C50" w:rsidP="00D15AA0">
      <w:pPr>
        <w:spacing w:line="276" w:lineRule="auto"/>
        <w:rPr>
          <w:rFonts w:cstheme="majorHAnsi"/>
          <w:szCs w:val="22"/>
        </w:rPr>
      </w:pPr>
    </w:p>
    <w:p w14:paraId="13759D33" w14:textId="77777777" w:rsidR="00AC0C50" w:rsidRPr="00AC0C50" w:rsidRDefault="00AC0C50" w:rsidP="00D15AA0">
      <w:pPr>
        <w:spacing w:line="276" w:lineRule="auto"/>
        <w:rPr>
          <w:rFonts w:cstheme="majorHAnsi"/>
          <w:lang w:val="en-AU"/>
        </w:rPr>
      </w:pPr>
    </w:p>
    <w:p w14:paraId="4712EA3F" w14:textId="3BB153FF" w:rsidR="00AC0C50" w:rsidRPr="00AC0C50" w:rsidRDefault="00AC0C50" w:rsidP="00D15AA0">
      <w:pPr>
        <w:spacing w:line="276" w:lineRule="auto"/>
        <w:rPr>
          <w:rFonts w:cstheme="majorHAnsi"/>
          <w:lang w:val="en-AU"/>
        </w:rPr>
      </w:pPr>
    </w:p>
    <w:p w14:paraId="1CF020B3" w14:textId="0E196435" w:rsidR="00AC0C50" w:rsidRPr="00AC0C50" w:rsidRDefault="00AC0C50" w:rsidP="00D15AA0">
      <w:pPr>
        <w:pStyle w:val="Heading2"/>
        <w:spacing w:line="276" w:lineRule="auto"/>
        <w:rPr>
          <w:rFonts w:asciiTheme="majorHAnsi" w:hAnsiTheme="majorHAnsi" w:cstheme="majorHAnsi"/>
        </w:rPr>
      </w:pPr>
      <w:r w:rsidRPr="00AC0C50">
        <w:rPr>
          <w:rFonts w:asciiTheme="majorHAnsi" w:hAnsiTheme="majorHAnsi" w:cstheme="majorHAnsi"/>
        </w:rPr>
        <w:t>Key features of cultural safety</w:t>
      </w:r>
    </w:p>
    <w:p w14:paraId="7F2607C9" w14:textId="7105B59C" w:rsidR="00AC0C50" w:rsidRPr="00AC0C50" w:rsidRDefault="00AC0C50" w:rsidP="00D15AA0">
      <w:pPr>
        <w:spacing w:line="276" w:lineRule="auto"/>
        <w:rPr>
          <w:rFonts w:cstheme="majorHAnsi"/>
          <w:lang w:val="en-AU"/>
        </w:rPr>
      </w:pPr>
    </w:p>
    <w:p w14:paraId="03150ACD" w14:textId="594C07F4" w:rsidR="00AC0C50" w:rsidRPr="00AC0C50" w:rsidRDefault="00AC0C50" w:rsidP="00D15AA0">
      <w:pPr>
        <w:spacing w:line="276" w:lineRule="auto"/>
        <w:rPr>
          <w:rFonts w:cstheme="majorHAnsi"/>
          <w:lang w:val="en-AU"/>
        </w:rPr>
      </w:pPr>
    </w:p>
    <w:p w14:paraId="0F088D3C" w14:textId="77777777" w:rsidR="00AC0C50" w:rsidRPr="00AC0C50" w:rsidRDefault="00AC0C50" w:rsidP="00D15AA0">
      <w:pPr>
        <w:spacing w:line="276" w:lineRule="auto"/>
        <w:ind w:firstLine="720"/>
        <w:rPr>
          <w:rFonts w:eastAsiaTheme="minorHAnsi" w:cstheme="majorHAnsi"/>
          <w:szCs w:val="22"/>
        </w:rPr>
      </w:pPr>
      <w:r w:rsidRPr="00AC0C50">
        <w:rPr>
          <w:rFonts w:eastAsiaTheme="minorHAnsi" w:cstheme="majorHAnsi"/>
          <w:szCs w:val="22"/>
        </w:rPr>
        <w:t xml:space="preserve">The notion of cultural safety evolved to counteract many of these concerns.  This notion primarily evolved in the health sector but has been extended to other fields.  Like cultural competence, researchers have proposed many definitions to </w:t>
      </w:r>
      <w:proofErr w:type="spellStart"/>
      <w:r w:rsidRPr="00AC0C50">
        <w:rPr>
          <w:rFonts w:eastAsiaTheme="minorHAnsi" w:cstheme="majorHAnsi"/>
          <w:szCs w:val="22"/>
        </w:rPr>
        <w:t>characterise</w:t>
      </w:r>
      <w:proofErr w:type="spellEnd"/>
      <w:r w:rsidRPr="00AC0C50">
        <w:rPr>
          <w:rFonts w:eastAsiaTheme="minorHAnsi" w:cstheme="majorHAnsi"/>
          <w:szCs w:val="22"/>
        </w:rPr>
        <w:t xml:space="preserve"> cultural safety.  Nevertheless, the essence of cultural safety is that individuals and organisations should strive to foster equity across cultures in health and other settings. The following table outlines some of the key features of organizations, practitioners, and employees who embrace cultural safety, as defined by Curtis et al. (2019)</w:t>
      </w:r>
    </w:p>
    <w:p w14:paraId="561EFEBA" w14:textId="1D56F2D1" w:rsidR="00AC0C50" w:rsidRDefault="00AC0C50" w:rsidP="00D15AA0">
      <w:pPr>
        <w:spacing w:line="276" w:lineRule="auto"/>
        <w:rPr>
          <w:rFonts w:eastAsiaTheme="minorHAnsi" w:cstheme="majorHAnsi"/>
          <w:szCs w:val="22"/>
        </w:rPr>
      </w:pPr>
    </w:p>
    <w:p w14:paraId="2BADFA6B" w14:textId="4C6CAF77" w:rsidR="00D15AA0" w:rsidRDefault="00D15AA0" w:rsidP="00D15AA0">
      <w:pPr>
        <w:spacing w:line="276" w:lineRule="auto"/>
        <w:rPr>
          <w:rFonts w:eastAsiaTheme="minorHAnsi" w:cstheme="majorHAnsi"/>
          <w:szCs w:val="22"/>
        </w:rPr>
      </w:pPr>
    </w:p>
    <w:p w14:paraId="009444D9" w14:textId="5321D96D" w:rsidR="00D15AA0" w:rsidRDefault="00D15AA0" w:rsidP="00D15AA0">
      <w:pPr>
        <w:spacing w:line="276" w:lineRule="auto"/>
        <w:rPr>
          <w:rFonts w:eastAsiaTheme="minorHAnsi" w:cstheme="majorHAnsi"/>
          <w:szCs w:val="22"/>
        </w:rPr>
      </w:pPr>
    </w:p>
    <w:p w14:paraId="549F04F6" w14:textId="77777777" w:rsidR="00D15AA0" w:rsidRPr="00AC0C50" w:rsidRDefault="00D15AA0" w:rsidP="00D15AA0">
      <w:pPr>
        <w:spacing w:line="276" w:lineRule="auto"/>
        <w:rPr>
          <w:rFonts w:eastAsiaTheme="minorHAnsi" w:cstheme="majorHAnsi"/>
          <w:szCs w:val="22"/>
        </w:rPr>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2947"/>
        <w:gridCol w:w="6095"/>
      </w:tblGrid>
      <w:tr w:rsidR="00AC0C50" w:rsidRPr="00AC0C50" w14:paraId="0FE2067A" w14:textId="77777777" w:rsidTr="00E6619C">
        <w:tc>
          <w:tcPr>
            <w:tcW w:w="2947" w:type="dxa"/>
            <w:shd w:val="clear" w:color="auto" w:fill="C6EBD6" w:themeFill="accent5" w:themeFillTint="66"/>
          </w:tcPr>
          <w:p w14:paraId="7E1F0DCB" w14:textId="77777777" w:rsidR="00AC0C50" w:rsidRPr="00AC0C50" w:rsidRDefault="00AC0C50" w:rsidP="00D15AA0">
            <w:pPr>
              <w:spacing w:line="276" w:lineRule="auto"/>
              <w:jc w:val="center"/>
              <w:rPr>
                <w:rFonts w:cstheme="majorHAnsi"/>
              </w:rPr>
            </w:pPr>
            <w:r w:rsidRPr="00AC0C50">
              <w:rPr>
                <w:rFonts w:cstheme="majorHAnsi"/>
              </w:rPr>
              <w:lastRenderedPageBreak/>
              <w:t>Feature</w:t>
            </w:r>
          </w:p>
        </w:tc>
        <w:tc>
          <w:tcPr>
            <w:tcW w:w="6095" w:type="dxa"/>
            <w:shd w:val="clear" w:color="auto" w:fill="C6EBD6" w:themeFill="accent5" w:themeFillTint="66"/>
          </w:tcPr>
          <w:p w14:paraId="086117FD" w14:textId="77777777" w:rsidR="00AC0C50" w:rsidRPr="00AC0C50" w:rsidRDefault="00AC0C50" w:rsidP="00D15AA0">
            <w:pPr>
              <w:spacing w:line="276" w:lineRule="auto"/>
              <w:jc w:val="center"/>
              <w:rPr>
                <w:rFonts w:cstheme="majorHAnsi"/>
              </w:rPr>
            </w:pPr>
            <w:r w:rsidRPr="00AC0C50">
              <w:rPr>
                <w:rFonts w:cstheme="majorHAnsi"/>
              </w:rPr>
              <w:t>Example</w:t>
            </w:r>
          </w:p>
        </w:tc>
      </w:tr>
      <w:tr w:rsidR="00AC0C50" w:rsidRPr="00AC0C50" w14:paraId="13A128F6" w14:textId="77777777" w:rsidTr="00E6619C">
        <w:tc>
          <w:tcPr>
            <w:tcW w:w="2947" w:type="dxa"/>
            <w:shd w:val="clear" w:color="auto" w:fill="D9D9D9" w:themeFill="background1" w:themeFillShade="D9"/>
          </w:tcPr>
          <w:p w14:paraId="6D1F2752" w14:textId="77777777" w:rsidR="00AC0C50" w:rsidRPr="00AC0C50" w:rsidRDefault="00AC0C50" w:rsidP="00D15AA0">
            <w:pPr>
              <w:spacing w:line="276" w:lineRule="auto"/>
              <w:rPr>
                <w:rFonts w:eastAsiaTheme="minorHAnsi" w:cstheme="majorHAnsi"/>
              </w:rPr>
            </w:pPr>
            <w:r w:rsidRPr="00AC0C50">
              <w:rPr>
                <w:rFonts w:eastAsiaTheme="minorHAnsi" w:cstheme="majorHAnsi"/>
              </w:rPr>
              <w:t>Sensitivity to culture and disparity in power is integrated into the organization or sector</w:t>
            </w:r>
          </w:p>
          <w:p w14:paraId="5F346D0C" w14:textId="77777777" w:rsidR="00AC0C50" w:rsidRPr="00AC0C50" w:rsidRDefault="00AC0C50" w:rsidP="00D15AA0">
            <w:pPr>
              <w:spacing w:line="276" w:lineRule="auto"/>
              <w:rPr>
                <w:rFonts w:cstheme="majorHAnsi"/>
              </w:rPr>
            </w:pPr>
          </w:p>
        </w:tc>
        <w:tc>
          <w:tcPr>
            <w:tcW w:w="6095" w:type="dxa"/>
            <w:shd w:val="clear" w:color="auto" w:fill="D9D9D9" w:themeFill="background1" w:themeFillShade="D9"/>
          </w:tcPr>
          <w:p w14:paraId="794853BA" w14:textId="77777777" w:rsidR="00AC0C50" w:rsidRPr="00AC0C50" w:rsidRDefault="00AC0C50" w:rsidP="00D15AA0">
            <w:pPr>
              <w:pStyle w:val="ListParagraph"/>
              <w:numPr>
                <w:ilvl w:val="0"/>
                <w:numId w:val="30"/>
              </w:numPr>
              <w:spacing w:before="0" w:after="0" w:line="276" w:lineRule="auto"/>
              <w:rPr>
                <w:rFonts w:cstheme="majorHAnsi"/>
              </w:rPr>
            </w:pPr>
            <w:r w:rsidRPr="00AC0C50">
              <w:rPr>
                <w:rFonts w:cstheme="majorHAnsi"/>
              </w:rPr>
              <w:t xml:space="preserve">Sensitivity to culture and disparity in power shapes all policies, procedures, and practices of organizations and industries—and is not merely confined to workshops.  </w:t>
            </w:r>
          </w:p>
          <w:p w14:paraId="66C0F5C3" w14:textId="77777777" w:rsidR="00AC0C50" w:rsidRPr="00AC0C50" w:rsidRDefault="00AC0C50" w:rsidP="00D15AA0">
            <w:pPr>
              <w:pStyle w:val="ListParagraph"/>
              <w:numPr>
                <w:ilvl w:val="0"/>
                <w:numId w:val="30"/>
              </w:numPr>
              <w:spacing w:before="0" w:after="0" w:line="276" w:lineRule="auto"/>
              <w:rPr>
                <w:rFonts w:cstheme="majorHAnsi"/>
              </w:rPr>
            </w:pPr>
            <w:r w:rsidRPr="00AC0C50">
              <w:rPr>
                <w:rFonts w:cstheme="majorHAnsi"/>
              </w:rPr>
              <w:t xml:space="preserve">Cultural safety is thus systemic rather than merely the purview of individuals.   </w:t>
            </w:r>
          </w:p>
        </w:tc>
      </w:tr>
      <w:tr w:rsidR="00AC0C50" w:rsidRPr="00AC0C50" w14:paraId="18C58796" w14:textId="77777777" w:rsidTr="00E6619C">
        <w:tc>
          <w:tcPr>
            <w:tcW w:w="2947" w:type="dxa"/>
            <w:shd w:val="clear" w:color="auto" w:fill="D9D9D9" w:themeFill="background1" w:themeFillShade="D9"/>
          </w:tcPr>
          <w:p w14:paraId="28AD2728" w14:textId="77777777" w:rsidR="00AC0C50" w:rsidRPr="00AC0C50" w:rsidRDefault="00AC0C50" w:rsidP="00D15AA0">
            <w:pPr>
              <w:spacing w:line="276" w:lineRule="auto"/>
              <w:rPr>
                <w:rFonts w:eastAsiaTheme="minorHAnsi" w:cstheme="majorHAnsi"/>
              </w:rPr>
            </w:pPr>
            <w:r w:rsidRPr="00AC0C50">
              <w:rPr>
                <w:rFonts w:eastAsiaTheme="minorHAnsi" w:cstheme="majorHAnsi"/>
              </w:rPr>
              <w:t>Practitioners and employees contemplate disparities in power</w:t>
            </w:r>
          </w:p>
        </w:tc>
        <w:tc>
          <w:tcPr>
            <w:tcW w:w="6095" w:type="dxa"/>
            <w:shd w:val="clear" w:color="auto" w:fill="D9D9D9" w:themeFill="background1" w:themeFillShade="D9"/>
          </w:tcPr>
          <w:p w14:paraId="15C3EF71" w14:textId="77777777" w:rsidR="00AC0C50" w:rsidRPr="00AC0C50" w:rsidRDefault="00AC0C50" w:rsidP="00D15AA0">
            <w:pPr>
              <w:pStyle w:val="ListParagraph"/>
              <w:numPr>
                <w:ilvl w:val="0"/>
                <w:numId w:val="30"/>
              </w:numPr>
              <w:spacing w:before="0" w:after="0" w:line="276" w:lineRule="auto"/>
              <w:rPr>
                <w:rFonts w:cstheme="majorHAnsi"/>
              </w:rPr>
            </w:pPr>
            <w:r w:rsidRPr="00AC0C50">
              <w:rPr>
                <w:rFonts w:cstheme="majorHAnsi"/>
              </w:rPr>
              <w:t xml:space="preserve">These individuals might, for example, consider how members of an Indigenous community might not disclose all their symptoms, because they are concerned this disclosure could affect the rights or </w:t>
            </w:r>
            <w:proofErr w:type="gramStart"/>
            <w:r w:rsidRPr="00AC0C50">
              <w:rPr>
                <w:rFonts w:cstheme="majorHAnsi"/>
              </w:rPr>
              <w:t>support</w:t>
            </w:r>
            <w:proofErr w:type="gramEnd"/>
            <w:r w:rsidRPr="00AC0C50">
              <w:rPr>
                <w:rFonts w:cstheme="majorHAnsi"/>
              </w:rPr>
              <w:t xml:space="preserve"> they receive from the government</w:t>
            </w:r>
          </w:p>
        </w:tc>
      </w:tr>
      <w:tr w:rsidR="00AC0C50" w:rsidRPr="00AC0C50" w14:paraId="62F68040" w14:textId="77777777" w:rsidTr="00E6619C">
        <w:tc>
          <w:tcPr>
            <w:tcW w:w="2947" w:type="dxa"/>
            <w:shd w:val="clear" w:color="auto" w:fill="D9D9D9" w:themeFill="background1" w:themeFillShade="D9"/>
          </w:tcPr>
          <w:p w14:paraId="6CEF4E8B" w14:textId="77777777" w:rsidR="00AC0C50" w:rsidRPr="00AC0C50" w:rsidRDefault="00AC0C50" w:rsidP="00D15AA0">
            <w:pPr>
              <w:spacing w:line="276" w:lineRule="auto"/>
              <w:rPr>
                <w:rFonts w:eastAsiaTheme="minorHAnsi" w:cstheme="majorHAnsi"/>
              </w:rPr>
            </w:pPr>
            <w:r w:rsidRPr="00AC0C50">
              <w:rPr>
                <w:rFonts w:eastAsiaTheme="minorHAnsi" w:cstheme="majorHAnsi"/>
              </w:rPr>
              <w:t>Practitioners and employees thus consider how historical, social, and political forces may amplify these disparities in power</w:t>
            </w:r>
          </w:p>
        </w:tc>
        <w:tc>
          <w:tcPr>
            <w:tcW w:w="6095" w:type="dxa"/>
            <w:shd w:val="clear" w:color="auto" w:fill="D9D9D9" w:themeFill="background1" w:themeFillShade="D9"/>
          </w:tcPr>
          <w:p w14:paraId="33A52E85" w14:textId="77777777" w:rsidR="00AC0C50" w:rsidRPr="00AC0C50" w:rsidRDefault="00AC0C50" w:rsidP="00D15AA0">
            <w:pPr>
              <w:pStyle w:val="ListParagraph"/>
              <w:numPr>
                <w:ilvl w:val="0"/>
                <w:numId w:val="30"/>
              </w:numPr>
              <w:spacing w:before="0" w:after="0" w:line="276" w:lineRule="auto"/>
              <w:rPr>
                <w:rFonts w:cstheme="majorHAnsi"/>
              </w:rPr>
            </w:pPr>
            <w:r w:rsidRPr="00AC0C50">
              <w:rPr>
                <w:rFonts w:cstheme="majorHAnsi"/>
              </w:rPr>
              <w:t>These individuals might, for example, realize that successful managers like to justify their privilege and thus promulgate the belief that problems in communities can be ascribed to deficits in these communities and not injustice.  Hence, these managers may be reluctant to address inequities.</w:t>
            </w:r>
          </w:p>
        </w:tc>
      </w:tr>
      <w:tr w:rsidR="00AC0C50" w:rsidRPr="00AC0C50" w14:paraId="0EDDB810" w14:textId="77777777" w:rsidTr="00E6619C">
        <w:tc>
          <w:tcPr>
            <w:tcW w:w="2947" w:type="dxa"/>
            <w:shd w:val="clear" w:color="auto" w:fill="D9D9D9" w:themeFill="background1" w:themeFillShade="D9"/>
          </w:tcPr>
          <w:p w14:paraId="25A31295" w14:textId="77777777" w:rsidR="00AC0C50" w:rsidRPr="00AC0C50" w:rsidRDefault="00AC0C50" w:rsidP="00D15AA0">
            <w:pPr>
              <w:spacing w:line="276" w:lineRule="auto"/>
              <w:rPr>
                <w:rFonts w:eastAsiaTheme="minorHAnsi" w:cstheme="majorHAnsi"/>
              </w:rPr>
            </w:pPr>
            <w:r w:rsidRPr="00AC0C50">
              <w:rPr>
                <w:rFonts w:eastAsiaTheme="minorHAnsi" w:cstheme="majorHAnsi"/>
              </w:rPr>
              <w:t>Practitioners and employees question their own biases, assumptions, and perspectives about other cultures</w:t>
            </w:r>
          </w:p>
        </w:tc>
        <w:tc>
          <w:tcPr>
            <w:tcW w:w="6095" w:type="dxa"/>
            <w:shd w:val="clear" w:color="auto" w:fill="D9D9D9" w:themeFill="background1" w:themeFillShade="D9"/>
          </w:tcPr>
          <w:p w14:paraId="7C0CB737" w14:textId="77777777" w:rsidR="00AC0C50" w:rsidRPr="00AC0C50" w:rsidRDefault="00AC0C50" w:rsidP="00D15AA0">
            <w:pPr>
              <w:pStyle w:val="ListParagraph"/>
              <w:numPr>
                <w:ilvl w:val="0"/>
                <w:numId w:val="30"/>
              </w:numPr>
              <w:spacing w:before="0" w:after="0" w:line="276" w:lineRule="auto"/>
              <w:rPr>
                <w:rFonts w:cstheme="majorHAnsi"/>
              </w:rPr>
            </w:pPr>
            <w:r w:rsidRPr="00AC0C50">
              <w:rPr>
                <w:rFonts w:cstheme="majorHAnsi"/>
              </w:rPr>
              <w:t xml:space="preserve">They might realize they like to believe the world is fair—and therefore tend to blame communities that are experiencing challenges on deficits rather than injustices.  </w:t>
            </w:r>
          </w:p>
        </w:tc>
      </w:tr>
      <w:tr w:rsidR="00AC0C50" w:rsidRPr="00AC0C50" w14:paraId="7D72DE9F" w14:textId="77777777" w:rsidTr="00E6619C">
        <w:tc>
          <w:tcPr>
            <w:tcW w:w="2947" w:type="dxa"/>
            <w:shd w:val="clear" w:color="auto" w:fill="D9D9D9" w:themeFill="background1" w:themeFillShade="D9"/>
          </w:tcPr>
          <w:p w14:paraId="6AEAF3AF" w14:textId="77777777" w:rsidR="00AC0C50" w:rsidRPr="00AC0C50" w:rsidRDefault="00AC0C50" w:rsidP="00D15AA0">
            <w:pPr>
              <w:spacing w:line="276" w:lineRule="auto"/>
              <w:rPr>
                <w:rFonts w:eastAsiaTheme="minorHAnsi" w:cstheme="majorHAnsi"/>
              </w:rPr>
            </w:pPr>
            <w:r w:rsidRPr="00AC0C50">
              <w:rPr>
                <w:rFonts w:eastAsiaTheme="minorHAnsi" w:cstheme="majorHAnsi"/>
              </w:rPr>
              <w:t>Practitioners and employees listen to the perspective of clients</w:t>
            </w:r>
          </w:p>
        </w:tc>
        <w:tc>
          <w:tcPr>
            <w:tcW w:w="6095" w:type="dxa"/>
            <w:shd w:val="clear" w:color="auto" w:fill="D9D9D9" w:themeFill="background1" w:themeFillShade="D9"/>
          </w:tcPr>
          <w:p w14:paraId="5293716A" w14:textId="77777777" w:rsidR="00AC0C50" w:rsidRPr="00AC0C50" w:rsidRDefault="00AC0C50" w:rsidP="00D15AA0">
            <w:pPr>
              <w:pStyle w:val="ListParagraph"/>
              <w:numPr>
                <w:ilvl w:val="0"/>
                <w:numId w:val="30"/>
              </w:numPr>
              <w:spacing w:before="0" w:after="0" w:line="276" w:lineRule="auto"/>
              <w:rPr>
                <w:rFonts w:cstheme="majorHAnsi"/>
              </w:rPr>
            </w:pPr>
            <w:r w:rsidRPr="00AC0C50">
              <w:rPr>
                <w:rFonts w:cstheme="majorHAnsi"/>
              </w:rPr>
              <w:t>Similar to the notion of cultural humility, practitioners and employees attempt to enable members of diverse communities to express their preferences and to determine whether they feel safe</w:t>
            </w:r>
          </w:p>
        </w:tc>
      </w:tr>
      <w:tr w:rsidR="00AC0C50" w:rsidRPr="00AC0C50" w14:paraId="3FC26BAA" w14:textId="77777777" w:rsidTr="00E6619C">
        <w:tc>
          <w:tcPr>
            <w:tcW w:w="2947" w:type="dxa"/>
            <w:shd w:val="clear" w:color="auto" w:fill="D9D9D9" w:themeFill="background1" w:themeFillShade="D9"/>
          </w:tcPr>
          <w:p w14:paraId="3AD38847" w14:textId="77777777" w:rsidR="00AC0C50" w:rsidRPr="00AC0C50" w:rsidRDefault="00AC0C50" w:rsidP="00D15AA0">
            <w:pPr>
              <w:spacing w:line="276" w:lineRule="auto"/>
              <w:rPr>
                <w:rFonts w:eastAsiaTheme="minorHAnsi" w:cstheme="majorHAnsi"/>
              </w:rPr>
            </w:pPr>
            <w:r w:rsidRPr="00AC0C50">
              <w:rPr>
                <w:rFonts w:eastAsiaTheme="minorHAnsi" w:cstheme="majorHAnsi"/>
              </w:rPr>
              <w:t>Practitioners and employees do not perceive themselves as competent</w:t>
            </w:r>
          </w:p>
        </w:tc>
        <w:tc>
          <w:tcPr>
            <w:tcW w:w="6095" w:type="dxa"/>
            <w:shd w:val="clear" w:color="auto" w:fill="D9D9D9" w:themeFill="background1" w:themeFillShade="D9"/>
          </w:tcPr>
          <w:p w14:paraId="601FD1D9" w14:textId="77777777" w:rsidR="00AC0C50" w:rsidRPr="00AC0C50" w:rsidRDefault="00AC0C50" w:rsidP="00D15AA0">
            <w:pPr>
              <w:pStyle w:val="ListParagraph"/>
              <w:numPr>
                <w:ilvl w:val="0"/>
                <w:numId w:val="30"/>
              </w:numPr>
              <w:spacing w:before="0" w:after="0" w:line="276" w:lineRule="auto"/>
              <w:rPr>
                <w:rFonts w:cstheme="majorHAnsi"/>
              </w:rPr>
            </w:pPr>
            <w:r w:rsidRPr="00AC0C50">
              <w:rPr>
                <w:rFonts w:cstheme="majorHAnsi"/>
              </w:rPr>
              <w:t xml:space="preserve">These individuals reflect upon their practices continually rather than believe they have achieved some expertise in cross-cultural settings </w:t>
            </w:r>
          </w:p>
        </w:tc>
      </w:tr>
    </w:tbl>
    <w:p w14:paraId="54D9FF4C" w14:textId="3A4B36EC" w:rsidR="00AC0C50" w:rsidRDefault="00AC0C50" w:rsidP="00D15AA0">
      <w:pPr>
        <w:spacing w:line="276" w:lineRule="auto"/>
        <w:rPr>
          <w:rFonts w:cstheme="majorHAnsi"/>
          <w:lang w:val="en-AU"/>
        </w:rPr>
      </w:pPr>
    </w:p>
    <w:p w14:paraId="7286BBDF" w14:textId="35E2466F" w:rsidR="00AC0C50" w:rsidRDefault="00AC0C50" w:rsidP="00D15AA0">
      <w:pPr>
        <w:spacing w:line="276" w:lineRule="auto"/>
        <w:rPr>
          <w:rFonts w:cstheme="majorHAnsi"/>
          <w:lang w:val="en-AU"/>
        </w:rPr>
      </w:pPr>
    </w:p>
    <w:p w14:paraId="44B4E3DF" w14:textId="77777777" w:rsidR="00AC0C50" w:rsidRPr="00AC0C50" w:rsidRDefault="00AC0C50" w:rsidP="00D15AA0">
      <w:pPr>
        <w:spacing w:line="276" w:lineRule="auto"/>
        <w:rPr>
          <w:rFonts w:cstheme="majorHAnsi"/>
          <w:lang w:val="en-AU"/>
        </w:rPr>
      </w:pPr>
    </w:p>
    <w:p w14:paraId="542D84AE" w14:textId="7147EC49" w:rsidR="00AC0C50" w:rsidRPr="00AC0C50" w:rsidRDefault="00AC0C50" w:rsidP="00D15AA0">
      <w:pPr>
        <w:spacing w:line="276" w:lineRule="auto"/>
        <w:rPr>
          <w:rFonts w:cstheme="majorHAnsi"/>
          <w:lang w:val="en-AU"/>
        </w:rPr>
      </w:pPr>
    </w:p>
    <w:p w14:paraId="0BE879E4" w14:textId="3BA183C1" w:rsidR="00AC0C50" w:rsidRPr="00AC0C50" w:rsidRDefault="00AC0C50" w:rsidP="00D15AA0">
      <w:pPr>
        <w:pStyle w:val="Heading2"/>
        <w:spacing w:line="276" w:lineRule="auto"/>
        <w:rPr>
          <w:rFonts w:asciiTheme="majorHAnsi" w:hAnsiTheme="majorHAnsi" w:cstheme="majorHAnsi"/>
        </w:rPr>
      </w:pPr>
      <w:r w:rsidRPr="00AC0C50">
        <w:rPr>
          <w:rFonts w:asciiTheme="majorHAnsi" w:hAnsiTheme="majorHAnsi" w:cstheme="majorHAnsi"/>
        </w:rPr>
        <w:t>References</w:t>
      </w:r>
    </w:p>
    <w:p w14:paraId="3E486066" w14:textId="6A96A9CA" w:rsidR="00AC0C50" w:rsidRDefault="00AC0C50" w:rsidP="00D15AA0">
      <w:pPr>
        <w:spacing w:line="276" w:lineRule="auto"/>
        <w:rPr>
          <w:rFonts w:cstheme="majorHAnsi"/>
          <w:lang w:val="en-AU"/>
        </w:rPr>
      </w:pPr>
    </w:p>
    <w:p w14:paraId="30FCAB09" w14:textId="77777777" w:rsidR="00AC0C50" w:rsidRPr="00AC0C50" w:rsidRDefault="00AC0C50" w:rsidP="00D15AA0">
      <w:pPr>
        <w:spacing w:line="276" w:lineRule="auto"/>
        <w:rPr>
          <w:rFonts w:cstheme="majorHAnsi"/>
          <w:lang w:val="en-AU"/>
        </w:rPr>
      </w:pPr>
    </w:p>
    <w:p w14:paraId="5934521D" w14:textId="77777777" w:rsidR="00AC0C50" w:rsidRPr="00AC0C50" w:rsidRDefault="00AC0C50" w:rsidP="00D15AA0">
      <w:pPr>
        <w:spacing w:line="276" w:lineRule="auto"/>
        <w:rPr>
          <w:rFonts w:cstheme="majorHAnsi"/>
          <w:szCs w:val="22"/>
        </w:rPr>
      </w:pPr>
      <w:r w:rsidRPr="00AC0C50">
        <w:rPr>
          <w:rFonts w:cstheme="majorHAnsi"/>
          <w:szCs w:val="22"/>
        </w:rPr>
        <w:t xml:space="preserve">Abbott, D. M., </w:t>
      </w:r>
      <w:proofErr w:type="spellStart"/>
      <w:r w:rsidRPr="00AC0C50">
        <w:rPr>
          <w:rFonts w:cstheme="majorHAnsi"/>
          <w:szCs w:val="22"/>
        </w:rPr>
        <w:t>Pelc</w:t>
      </w:r>
      <w:proofErr w:type="spellEnd"/>
      <w:r w:rsidRPr="00AC0C50">
        <w:rPr>
          <w:rFonts w:cstheme="majorHAnsi"/>
          <w:szCs w:val="22"/>
        </w:rPr>
        <w:t xml:space="preserve">, N., &amp; Mercier, C. (2019).  Cultural humility and the teaching of psychology. Scholarship of Teaching and Learning in Psychology, 5(2), 169-181. </w:t>
      </w:r>
      <w:proofErr w:type="spellStart"/>
      <w:r w:rsidRPr="00AC0C50">
        <w:rPr>
          <w:rFonts w:cstheme="majorHAnsi"/>
          <w:szCs w:val="22"/>
        </w:rPr>
        <w:t>doi</w:t>
      </w:r>
      <w:proofErr w:type="spellEnd"/>
      <w:r w:rsidRPr="00AC0C50">
        <w:rPr>
          <w:rFonts w:cstheme="majorHAnsi"/>
          <w:szCs w:val="22"/>
        </w:rPr>
        <w:t xml:space="preserve">: 10.1037/stl0000144 </w:t>
      </w:r>
    </w:p>
    <w:p w14:paraId="473F0238" w14:textId="77777777" w:rsidR="00AC0C50" w:rsidRPr="00AC0C50" w:rsidRDefault="00AC0C50" w:rsidP="00D15AA0">
      <w:pPr>
        <w:spacing w:line="276" w:lineRule="auto"/>
        <w:rPr>
          <w:rFonts w:cstheme="majorHAnsi"/>
          <w:szCs w:val="22"/>
        </w:rPr>
      </w:pPr>
    </w:p>
    <w:p w14:paraId="5744F675" w14:textId="77777777" w:rsidR="00AC0C50" w:rsidRPr="00AC0C50" w:rsidRDefault="00AC0C50" w:rsidP="00D15AA0">
      <w:pPr>
        <w:spacing w:line="276" w:lineRule="auto"/>
        <w:rPr>
          <w:rFonts w:cstheme="majorHAnsi"/>
          <w:szCs w:val="22"/>
        </w:rPr>
      </w:pPr>
      <w:proofErr w:type="spellStart"/>
      <w:r w:rsidRPr="00AC0C50">
        <w:rPr>
          <w:rFonts w:cstheme="majorHAnsi"/>
          <w:szCs w:val="22"/>
        </w:rPr>
        <w:t>Burckell</w:t>
      </w:r>
      <w:proofErr w:type="spellEnd"/>
      <w:r w:rsidRPr="00AC0C50">
        <w:rPr>
          <w:rFonts w:cstheme="majorHAnsi"/>
          <w:szCs w:val="22"/>
        </w:rPr>
        <w:t xml:space="preserve">, L. A., &amp; </w:t>
      </w:r>
      <w:proofErr w:type="spellStart"/>
      <w:r w:rsidRPr="00AC0C50">
        <w:rPr>
          <w:rFonts w:cstheme="majorHAnsi"/>
          <w:szCs w:val="22"/>
        </w:rPr>
        <w:t>Goldfried</w:t>
      </w:r>
      <w:proofErr w:type="spellEnd"/>
      <w:r w:rsidRPr="00AC0C50">
        <w:rPr>
          <w:rFonts w:cstheme="majorHAnsi"/>
          <w:szCs w:val="22"/>
        </w:rPr>
        <w:t>, M. R. (2006). Therapist qualities preferred by sexual-minority individuals. Psychotherapy: Theory, Research, &amp; Practice, 43, 32–49.</w:t>
      </w:r>
    </w:p>
    <w:p w14:paraId="0BAFD7B9" w14:textId="77777777" w:rsidR="00AC0C50" w:rsidRPr="00AC0C50" w:rsidRDefault="00AC0C50" w:rsidP="00D15AA0">
      <w:pPr>
        <w:spacing w:line="276" w:lineRule="auto"/>
        <w:rPr>
          <w:rFonts w:cstheme="majorHAnsi"/>
          <w:szCs w:val="22"/>
        </w:rPr>
      </w:pPr>
    </w:p>
    <w:p w14:paraId="73F3994A" w14:textId="77777777" w:rsidR="00AC0C50" w:rsidRPr="00AC0C50" w:rsidRDefault="00AC0C50" w:rsidP="00D15AA0">
      <w:pPr>
        <w:spacing w:line="276" w:lineRule="auto"/>
        <w:rPr>
          <w:rFonts w:cstheme="majorHAnsi"/>
          <w:szCs w:val="22"/>
        </w:rPr>
      </w:pPr>
      <w:r w:rsidRPr="00AC0C50">
        <w:rPr>
          <w:rFonts w:cstheme="majorHAnsi"/>
          <w:szCs w:val="22"/>
        </w:rPr>
        <w:t>Chang, E., Simon, M., &amp; Dong, X. (2012). Integrating cultural humility into health care professional education and training. Advances in Health Sciences Education, 17(2), 269-278.</w:t>
      </w:r>
    </w:p>
    <w:p w14:paraId="634C97DA" w14:textId="77777777" w:rsidR="00AC0C50" w:rsidRPr="00AC0C50" w:rsidRDefault="00AC0C50" w:rsidP="00D15AA0">
      <w:pPr>
        <w:spacing w:line="276" w:lineRule="auto"/>
        <w:rPr>
          <w:rFonts w:cstheme="majorHAnsi"/>
          <w:szCs w:val="22"/>
        </w:rPr>
      </w:pPr>
    </w:p>
    <w:p w14:paraId="0C6A7CA9" w14:textId="77777777" w:rsidR="00AC0C50" w:rsidRPr="00AC0C50" w:rsidRDefault="00AC0C50" w:rsidP="00D15AA0">
      <w:pPr>
        <w:spacing w:line="276" w:lineRule="auto"/>
        <w:rPr>
          <w:rFonts w:cstheme="majorHAnsi"/>
          <w:szCs w:val="22"/>
        </w:rPr>
      </w:pPr>
      <w:proofErr w:type="spellStart"/>
      <w:r w:rsidRPr="00AC0C50">
        <w:rPr>
          <w:rFonts w:cstheme="majorHAnsi"/>
          <w:szCs w:val="22"/>
        </w:rPr>
        <w:lastRenderedPageBreak/>
        <w:t>Cruess</w:t>
      </w:r>
      <w:proofErr w:type="spellEnd"/>
      <w:r w:rsidRPr="00AC0C50">
        <w:rPr>
          <w:rFonts w:cstheme="majorHAnsi"/>
          <w:szCs w:val="22"/>
        </w:rPr>
        <w:t xml:space="preserve">, S. R., </w:t>
      </w:r>
      <w:proofErr w:type="spellStart"/>
      <w:r w:rsidRPr="00AC0C50">
        <w:rPr>
          <w:rFonts w:cstheme="majorHAnsi"/>
          <w:szCs w:val="22"/>
        </w:rPr>
        <w:t>Cruess</w:t>
      </w:r>
      <w:proofErr w:type="spellEnd"/>
      <w:r w:rsidRPr="00AC0C50">
        <w:rPr>
          <w:rFonts w:cstheme="majorHAnsi"/>
          <w:szCs w:val="22"/>
        </w:rPr>
        <w:t>, R. L., &amp; Steinert, Y. (2010). Linking the teaching of professionalism to the social contract: A call for cultural humility. Medical Teacher, 32, 357–359.</w:t>
      </w:r>
    </w:p>
    <w:p w14:paraId="6C3D1989" w14:textId="77777777" w:rsidR="00AC0C50" w:rsidRPr="00AC0C50" w:rsidRDefault="00AC0C50" w:rsidP="00D15AA0">
      <w:pPr>
        <w:spacing w:line="276" w:lineRule="auto"/>
        <w:rPr>
          <w:rFonts w:cstheme="majorHAnsi"/>
          <w:szCs w:val="22"/>
        </w:rPr>
      </w:pPr>
    </w:p>
    <w:p w14:paraId="7F099B2C" w14:textId="77777777" w:rsidR="00AC0C50" w:rsidRPr="00AC0C50" w:rsidRDefault="00AC0C50" w:rsidP="00D15AA0">
      <w:pPr>
        <w:spacing w:line="276" w:lineRule="auto"/>
        <w:rPr>
          <w:rFonts w:cstheme="majorHAnsi"/>
          <w:szCs w:val="22"/>
        </w:rPr>
      </w:pPr>
      <w:r w:rsidRPr="00AC0C50">
        <w:rPr>
          <w:rFonts w:cstheme="majorHAnsi"/>
          <w:szCs w:val="22"/>
        </w:rPr>
        <w:t xml:space="preserve">Curtis, E., Jones, R., </w:t>
      </w:r>
      <w:proofErr w:type="spellStart"/>
      <w:r w:rsidRPr="00AC0C50">
        <w:rPr>
          <w:rFonts w:cstheme="majorHAnsi"/>
          <w:szCs w:val="22"/>
        </w:rPr>
        <w:t>Tipene</w:t>
      </w:r>
      <w:proofErr w:type="spellEnd"/>
      <w:r w:rsidRPr="00AC0C50">
        <w:rPr>
          <w:rFonts w:cstheme="majorHAnsi"/>
          <w:szCs w:val="22"/>
        </w:rPr>
        <w:t>-Leach, D., Walker, C., Loring, B., Paine, S. J., &amp; Reid, P. (2019). Why cultural safety rather than cultural competency is required to achieve health equity: a literature review and recommended definition. International Journal for Equity in Health, 18(1), 174</w:t>
      </w:r>
    </w:p>
    <w:p w14:paraId="2E92D14F" w14:textId="77777777" w:rsidR="00AC0C50" w:rsidRPr="00AC0C50" w:rsidRDefault="00AC0C50" w:rsidP="00D15AA0">
      <w:pPr>
        <w:spacing w:line="276" w:lineRule="auto"/>
        <w:rPr>
          <w:rFonts w:cstheme="majorHAnsi"/>
          <w:szCs w:val="22"/>
        </w:rPr>
      </w:pPr>
    </w:p>
    <w:p w14:paraId="517493F2" w14:textId="77777777" w:rsidR="00AC0C50" w:rsidRPr="00AC0C50" w:rsidRDefault="00AC0C50" w:rsidP="00D15AA0">
      <w:pPr>
        <w:spacing w:line="276" w:lineRule="auto"/>
        <w:rPr>
          <w:rFonts w:cstheme="majorHAnsi"/>
          <w:szCs w:val="22"/>
        </w:rPr>
      </w:pPr>
      <w:proofErr w:type="spellStart"/>
      <w:r w:rsidRPr="00AC0C50">
        <w:rPr>
          <w:rFonts w:cstheme="majorHAnsi"/>
          <w:szCs w:val="22"/>
        </w:rPr>
        <w:t>Danso</w:t>
      </w:r>
      <w:proofErr w:type="spellEnd"/>
      <w:r w:rsidRPr="00AC0C50">
        <w:rPr>
          <w:rFonts w:cstheme="majorHAnsi"/>
          <w:szCs w:val="22"/>
        </w:rPr>
        <w:t>, R. (2018). Cultural competence and cultural humility: A critical reflection on key cultural diversity concepts. Journal of Social Work, 18, 410–430.</w:t>
      </w:r>
    </w:p>
    <w:p w14:paraId="005C995D" w14:textId="77777777" w:rsidR="00AC0C50" w:rsidRPr="00AC0C50" w:rsidRDefault="00AC0C50" w:rsidP="00D15AA0">
      <w:pPr>
        <w:spacing w:line="276" w:lineRule="auto"/>
        <w:rPr>
          <w:rFonts w:cstheme="majorHAnsi"/>
          <w:szCs w:val="22"/>
        </w:rPr>
      </w:pPr>
    </w:p>
    <w:p w14:paraId="7B742E38" w14:textId="77777777" w:rsidR="00AC0C50" w:rsidRPr="00AC0C50" w:rsidRDefault="00AC0C50" w:rsidP="00D15AA0">
      <w:pPr>
        <w:spacing w:line="276" w:lineRule="auto"/>
        <w:rPr>
          <w:rFonts w:cstheme="majorHAnsi"/>
          <w:szCs w:val="22"/>
        </w:rPr>
      </w:pPr>
      <w:r w:rsidRPr="00AC0C50">
        <w:rPr>
          <w:rFonts w:cstheme="majorHAnsi"/>
          <w:szCs w:val="22"/>
        </w:rPr>
        <w:t xml:space="preserve">Davis, D. E., </w:t>
      </w:r>
      <w:proofErr w:type="spellStart"/>
      <w:r w:rsidRPr="00AC0C50">
        <w:rPr>
          <w:rFonts w:cstheme="majorHAnsi"/>
          <w:szCs w:val="22"/>
        </w:rPr>
        <w:t>DeBlaere</w:t>
      </w:r>
      <w:proofErr w:type="spellEnd"/>
      <w:r w:rsidRPr="00AC0C50">
        <w:rPr>
          <w:rFonts w:cstheme="majorHAnsi"/>
          <w:szCs w:val="22"/>
        </w:rPr>
        <w:t xml:space="preserve">, C., Brubaker, K., Owen, J., Jordan, T. A., II, Hook, J. N., &amp; Van </w:t>
      </w:r>
      <w:proofErr w:type="spellStart"/>
      <w:r w:rsidRPr="00AC0C50">
        <w:rPr>
          <w:rFonts w:cstheme="majorHAnsi"/>
          <w:szCs w:val="22"/>
        </w:rPr>
        <w:t>Tongeren</w:t>
      </w:r>
      <w:proofErr w:type="spellEnd"/>
      <w:r w:rsidRPr="00AC0C50">
        <w:rPr>
          <w:rFonts w:cstheme="majorHAnsi"/>
          <w:szCs w:val="22"/>
        </w:rPr>
        <w:t>, D. R. (2016). Microaggressions and perceptions of cultural humility in counseling. Journal of Counseling &amp; Development, 94, 483–493</w:t>
      </w:r>
    </w:p>
    <w:p w14:paraId="331E0558" w14:textId="77777777" w:rsidR="00AC0C50" w:rsidRPr="00AC0C50" w:rsidRDefault="00AC0C50" w:rsidP="00D15AA0">
      <w:pPr>
        <w:spacing w:line="276" w:lineRule="auto"/>
        <w:rPr>
          <w:rFonts w:cstheme="majorHAnsi"/>
          <w:szCs w:val="22"/>
        </w:rPr>
      </w:pPr>
    </w:p>
    <w:p w14:paraId="21BFD185" w14:textId="77777777" w:rsidR="00AC0C50" w:rsidRPr="00AC0C50" w:rsidRDefault="00AC0C50" w:rsidP="00D15AA0">
      <w:pPr>
        <w:spacing w:line="276" w:lineRule="auto"/>
        <w:rPr>
          <w:rFonts w:cstheme="majorHAnsi"/>
          <w:szCs w:val="22"/>
        </w:rPr>
      </w:pPr>
      <w:proofErr w:type="spellStart"/>
      <w:r w:rsidRPr="00AC0C50">
        <w:rPr>
          <w:rFonts w:cstheme="majorHAnsi"/>
          <w:szCs w:val="22"/>
        </w:rPr>
        <w:t>Diala</w:t>
      </w:r>
      <w:proofErr w:type="spellEnd"/>
      <w:r w:rsidRPr="00AC0C50">
        <w:rPr>
          <w:rFonts w:cstheme="majorHAnsi"/>
          <w:szCs w:val="22"/>
        </w:rPr>
        <w:t xml:space="preserve">, C., </w:t>
      </w:r>
      <w:proofErr w:type="spellStart"/>
      <w:r w:rsidRPr="00AC0C50">
        <w:rPr>
          <w:rFonts w:cstheme="majorHAnsi"/>
          <w:szCs w:val="22"/>
        </w:rPr>
        <w:t>Muntaner</w:t>
      </w:r>
      <w:proofErr w:type="spellEnd"/>
      <w:r w:rsidRPr="00AC0C50">
        <w:rPr>
          <w:rFonts w:cstheme="majorHAnsi"/>
          <w:szCs w:val="22"/>
        </w:rPr>
        <w:t>, C., Walrath, C., Nickerson, K. J., LaVeist, T. A., &amp; Leaf, P. J. (2000). Racial differences in attitudes toward professional mental health care and in the use of services. American Journal of Orthopsychiatry, 70, 455–464</w:t>
      </w:r>
    </w:p>
    <w:p w14:paraId="56D598E8" w14:textId="77777777" w:rsidR="00AC0C50" w:rsidRPr="00AC0C50" w:rsidRDefault="00AC0C50" w:rsidP="00D15AA0">
      <w:pPr>
        <w:spacing w:line="276" w:lineRule="auto"/>
        <w:rPr>
          <w:rFonts w:cstheme="majorHAnsi"/>
          <w:szCs w:val="22"/>
        </w:rPr>
      </w:pPr>
    </w:p>
    <w:p w14:paraId="5B57E1F5" w14:textId="77777777" w:rsidR="00AC0C50" w:rsidRPr="00AC0C50" w:rsidRDefault="00AC0C50" w:rsidP="00D15AA0">
      <w:pPr>
        <w:spacing w:line="276" w:lineRule="auto"/>
        <w:rPr>
          <w:rFonts w:cstheme="majorHAnsi"/>
          <w:szCs w:val="22"/>
        </w:rPr>
      </w:pPr>
      <w:r w:rsidRPr="00AC0C50">
        <w:rPr>
          <w:rFonts w:cstheme="majorHAnsi"/>
          <w:szCs w:val="22"/>
        </w:rPr>
        <w:t>Fisher-Borne, M., Cain, J. M., &amp; Martin, S. L. (2015). From mastery to accountability: Cultural humility as an alternative to cultural competence. Social Work Education, 34, 165–181</w:t>
      </w:r>
    </w:p>
    <w:p w14:paraId="55846080" w14:textId="77777777" w:rsidR="00AC0C50" w:rsidRPr="00AC0C50" w:rsidRDefault="00AC0C50" w:rsidP="00D15AA0">
      <w:pPr>
        <w:spacing w:line="276" w:lineRule="auto"/>
        <w:rPr>
          <w:rFonts w:cstheme="majorHAnsi"/>
          <w:szCs w:val="22"/>
        </w:rPr>
      </w:pPr>
    </w:p>
    <w:p w14:paraId="5276E8F0" w14:textId="77777777" w:rsidR="00AC0C50" w:rsidRPr="00AC0C50" w:rsidRDefault="00AC0C50" w:rsidP="00D15AA0">
      <w:pPr>
        <w:spacing w:line="276" w:lineRule="auto"/>
        <w:rPr>
          <w:rFonts w:cstheme="majorHAnsi"/>
          <w:szCs w:val="22"/>
        </w:rPr>
      </w:pPr>
      <w:r w:rsidRPr="00AC0C50">
        <w:rPr>
          <w:rFonts w:cstheme="majorHAnsi"/>
          <w:szCs w:val="22"/>
        </w:rPr>
        <w:t xml:space="preserve">Foronda, C., Baptiste, D. L., </w:t>
      </w:r>
      <w:proofErr w:type="spellStart"/>
      <w:r w:rsidRPr="00AC0C50">
        <w:rPr>
          <w:rFonts w:cstheme="majorHAnsi"/>
          <w:szCs w:val="22"/>
        </w:rPr>
        <w:t>Reinholdt</w:t>
      </w:r>
      <w:proofErr w:type="spellEnd"/>
      <w:r w:rsidRPr="00AC0C50">
        <w:rPr>
          <w:rFonts w:cstheme="majorHAnsi"/>
          <w:szCs w:val="22"/>
        </w:rPr>
        <w:t xml:space="preserve">, M. M., &amp; </w:t>
      </w:r>
      <w:proofErr w:type="spellStart"/>
      <w:r w:rsidRPr="00AC0C50">
        <w:rPr>
          <w:rFonts w:cstheme="majorHAnsi"/>
          <w:szCs w:val="22"/>
        </w:rPr>
        <w:t>Ousman</w:t>
      </w:r>
      <w:proofErr w:type="spellEnd"/>
      <w:r w:rsidRPr="00AC0C50">
        <w:rPr>
          <w:rFonts w:cstheme="majorHAnsi"/>
          <w:szCs w:val="22"/>
        </w:rPr>
        <w:t>, K. (2016). Cultural humility: A concept analysis. Journal of Transcultural Nursing, 27, 210–217.</w:t>
      </w:r>
    </w:p>
    <w:p w14:paraId="36D3223E" w14:textId="77777777" w:rsidR="00AC0C50" w:rsidRPr="00AC0C50" w:rsidRDefault="00AC0C50" w:rsidP="00D15AA0">
      <w:pPr>
        <w:spacing w:line="276" w:lineRule="auto"/>
        <w:rPr>
          <w:rFonts w:cstheme="majorHAnsi"/>
          <w:szCs w:val="22"/>
        </w:rPr>
      </w:pPr>
    </w:p>
    <w:p w14:paraId="5CD5834E" w14:textId="77777777" w:rsidR="00AC0C50" w:rsidRPr="00AC0C50" w:rsidRDefault="00AC0C50" w:rsidP="00D15AA0">
      <w:pPr>
        <w:spacing w:line="276" w:lineRule="auto"/>
        <w:rPr>
          <w:rFonts w:cstheme="majorHAnsi"/>
          <w:szCs w:val="22"/>
        </w:rPr>
      </w:pPr>
      <w:r w:rsidRPr="00AC0C50">
        <w:rPr>
          <w:rFonts w:cstheme="majorHAnsi"/>
          <w:szCs w:val="22"/>
        </w:rPr>
        <w:t xml:space="preserve">Hook, J. N., Davis, D. E., Owen, J., &amp; </w:t>
      </w:r>
      <w:proofErr w:type="spellStart"/>
      <w:r w:rsidRPr="00AC0C50">
        <w:rPr>
          <w:rFonts w:cstheme="majorHAnsi"/>
          <w:szCs w:val="22"/>
        </w:rPr>
        <w:t>DeBlaere</w:t>
      </w:r>
      <w:proofErr w:type="spellEnd"/>
      <w:r w:rsidRPr="00AC0C50">
        <w:rPr>
          <w:rFonts w:cstheme="majorHAnsi"/>
          <w:szCs w:val="22"/>
        </w:rPr>
        <w:t>, C. (2017). Cultural humility: Engaging diverse identities in therapy. Washington, DC: American Psychological Association.</w:t>
      </w:r>
    </w:p>
    <w:p w14:paraId="061B3EED" w14:textId="77777777" w:rsidR="00AC0C50" w:rsidRPr="00AC0C50" w:rsidRDefault="00AC0C50" w:rsidP="00D15AA0">
      <w:pPr>
        <w:spacing w:line="276" w:lineRule="auto"/>
        <w:rPr>
          <w:rFonts w:cstheme="majorHAnsi"/>
          <w:szCs w:val="22"/>
        </w:rPr>
      </w:pPr>
    </w:p>
    <w:p w14:paraId="5E49B9AD" w14:textId="77777777" w:rsidR="00AC0C50" w:rsidRPr="00AC0C50" w:rsidRDefault="00AC0C50" w:rsidP="00D15AA0">
      <w:pPr>
        <w:spacing w:line="276" w:lineRule="auto"/>
        <w:rPr>
          <w:rFonts w:cstheme="majorHAnsi"/>
          <w:szCs w:val="22"/>
        </w:rPr>
      </w:pPr>
      <w:r w:rsidRPr="00AC0C50">
        <w:rPr>
          <w:rFonts w:cstheme="majorHAnsi"/>
          <w:szCs w:val="22"/>
        </w:rPr>
        <w:t xml:space="preserve">Hook, J. N., Davis, D. E., Owen, J., Worthington, E. L., &amp; </w:t>
      </w:r>
      <w:proofErr w:type="spellStart"/>
      <w:r w:rsidRPr="00AC0C50">
        <w:rPr>
          <w:rFonts w:cstheme="majorHAnsi"/>
          <w:szCs w:val="22"/>
        </w:rPr>
        <w:t>Utsey</w:t>
      </w:r>
      <w:proofErr w:type="spellEnd"/>
      <w:r w:rsidRPr="00AC0C50">
        <w:rPr>
          <w:rFonts w:cstheme="majorHAnsi"/>
          <w:szCs w:val="22"/>
        </w:rPr>
        <w:t>, S. O. (2013). Cultural humility: Measuring openness to culturally diverse clients. Journal of Counseling Psychology, 60, 353–366</w:t>
      </w:r>
    </w:p>
    <w:p w14:paraId="4D6508CC" w14:textId="77777777" w:rsidR="00AC0C50" w:rsidRPr="00AC0C50" w:rsidRDefault="00AC0C50" w:rsidP="00D15AA0">
      <w:pPr>
        <w:spacing w:line="276" w:lineRule="auto"/>
        <w:rPr>
          <w:rFonts w:cstheme="majorHAnsi"/>
          <w:szCs w:val="22"/>
        </w:rPr>
      </w:pPr>
    </w:p>
    <w:p w14:paraId="380F69FA" w14:textId="77777777" w:rsidR="00AC0C50" w:rsidRPr="00AC0C50" w:rsidRDefault="00AC0C50" w:rsidP="00D15AA0">
      <w:pPr>
        <w:spacing w:line="276" w:lineRule="auto"/>
        <w:rPr>
          <w:rFonts w:cstheme="majorHAnsi"/>
          <w:szCs w:val="22"/>
        </w:rPr>
      </w:pPr>
      <w:r w:rsidRPr="00AC0C50">
        <w:rPr>
          <w:rFonts w:cstheme="majorHAnsi"/>
          <w:szCs w:val="22"/>
        </w:rPr>
        <w:t>Hook, J. N., &amp; Watkins, C. E. (2015). Cultural humility: The cornerstone of positive contact with</w:t>
      </w:r>
    </w:p>
    <w:p w14:paraId="42617CED" w14:textId="77777777" w:rsidR="00AC0C50" w:rsidRPr="00AC0C50" w:rsidRDefault="00AC0C50" w:rsidP="00D15AA0">
      <w:pPr>
        <w:spacing w:line="276" w:lineRule="auto"/>
        <w:rPr>
          <w:rFonts w:cstheme="majorHAnsi"/>
          <w:szCs w:val="22"/>
        </w:rPr>
      </w:pPr>
      <w:r w:rsidRPr="00AC0C50">
        <w:rPr>
          <w:rFonts w:cstheme="majorHAnsi"/>
          <w:szCs w:val="22"/>
        </w:rPr>
        <w:t>culturally different individuals and groups? American Psychologist, 70, 661–662.</w:t>
      </w:r>
    </w:p>
    <w:p w14:paraId="31027986" w14:textId="77777777" w:rsidR="00AC0C50" w:rsidRPr="00AC0C50" w:rsidRDefault="00AC0C50" w:rsidP="00D15AA0">
      <w:pPr>
        <w:spacing w:line="276" w:lineRule="auto"/>
        <w:rPr>
          <w:rFonts w:cstheme="majorHAnsi"/>
          <w:szCs w:val="22"/>
        </w:rPr>
      </w:pPr>
    </w:p>
    <w:p w14:paraId="46FCD2F6" w14:textId="77777777" w:rsidR="00AC0C50" w:rsidRPr="00AC0C50" w:rsidRDefault="00AC0C50" w:rsidP="00D15AA0">
      <w:pPr>
        <w:spacing w:line="276" w:lineRule="auto"/>
        <w:rPr>
          <w:rFonts w:cstheme="majorHAnsi"/>
          <w:szCs w:val="22"/>
        </w:rPr>
      </w:pPr>
      <w:r w:rsidRPr="00AC0C50">
        <w:rPr>
          <w:rFonts w:cstheme="majorHAnsi"/>
          <w:szCs w:val="22"/>
        </w:rPr>
        <w:t xml:space="preserve">Hook, J. N., Watkins, C. E., Jr., Davis, D. E., Owen, J., van </w:t>
      </w:r>
      <w:proofErr w:type="spellStart"/>
      <w:r w:rsidRPr="00AC0C50">
        <w:rPr>
          <w:rFonts w:cstheme="majorHAnsi"/>
          <w:szCs w:val="22"/>
        </w:rPr>
        <w:t>Tongeren</w:t>
      </w:r>
      <w:proofErr w:type="spellEnd"/>
      <w:r w:rsidRPr="00AC0C50">
        <w:rPr>
          <w:rFonts w:cstheme="majorHAnsi"/>
          <w:szCs w:val="22"/>
        </w:rPr>
        <w:t xml:space="preserve">, D. R., &amp; </w:t>
      </w:r>
      <w:proofErr w:type="spellStart"/>
      <w:r w:rsidRPr="00AC0C50">
        <w:rPr>
          <w:rFonts w:cstheme="majorHAnsi"/>
          <w:szCs w:val="22"/>
        </w:rPr>
        <w:t>Marciana</w:t>
      </w:r>
      <w:proofErr w:type="spellEnd"/>
      <w:r w:rsidRPr="00AC0C50">
        <w:rPr>
          <w:rFonts w:cstheme="majorHAnsi"/>
          <w:szCs w:val="22"/>
        </w:rPr>
        <w:t xml:space="preserve">, J. R. (2016). Cultural humility in psychotherapy supervision. American Journal of Psychotherapy, 70, 149–166. </w:t>
      </w:r>
    </w:p>
    <w:p w14:paraId="6C35F391" w14:textId="77777777" w:rsidR="00AC0C50" w:rsidRPr="00AC0C50" w:rsidRDefault="00AC0C50" w:rsidP="00D15AA0">
      <w:pPr>
        <w:spacing w:line="276" w:lineRule="auto"/>
        <w:rPr>
          <w:rFonts w:cstheme="majorHAnsi"/>
          <w:szCs w:val="22"/>
        </w:rPr>
      </w:pPr>
    </w:p>
    <w:p w14:paraId="6CCDF776" w14:textId="77777777" w:rsidR="00AC0C50" w:rsidRPr="00AC0C50" w:rsidRDefault="00AC0C50" w:rsidP="00D15AA0">
      <w:pPr>
        <w:spacing w:line="276" w:lineRule="auto"/>
        <w:rPr>
          <w:rFonts w:cstheme="majorHAnsi"/>
          <w:szCs w:val="22"/>
        </w:rPr>
      </w:pPr>
      <w:r w:rsidRPr="00AC0C50">
        <w:rPr>
          <w:rFonts w:cstheme="majorHAnsi"/>
          <w:szCs w:val="22"/>
        </w:rPr>
        <w:t>Hunt, L. M. (2001). Beyond cultural competence: Applying humility to clinical settings. The Park Ridge Centre Bulletin, 24, 133–136.</w:t>
      </w:r>
    </w:p>
    <w:p w14:paraId="349B5863" w14:textId="77777777" w:rsidR="00AC0C50" w:rsidRPr="00AC0C50" w:rsidRDefault="00AC0C50" w:rsidP="00D15AA0">
      <w:pPr>
        <w:spacing w:line="276" w:lineRule="auto"/>
        <w:rPr>
          <w:rFonts w:cstheme="majorHAnsi"/>
          <w:szCs w:val="22"/>
        </w:rPr>
      </w:pPr>
    </w:p>
    <w:p w14:paraId="469AA4CF" w14:textId="77777777" w:rsidR="00AC0C50" w:rsidRPr="00AC0C50" w:rsidRDefault="00AC0C50" w:rsidP="00D15AA0">
      <w:pPr>
        <w:spacing w:line="276" w:lineRule="auto"/>
        <w:rPr>
          <w:rFonts w:cstheme="majorHAnsi"/>
          <w:szCs w:val="22"/>
        </w:rPr>
      </w:pPr>
      <w:r w:rsidRPr="00AC0C50">
        <w:rPr>
          <w:rFonts w:cstheme="majorHAnsi"/>
          <w:szCs w:val="22"/>
        </w:rPr>
        <w:t>McElroy-</w:t>
      </w:r>
      <w:proofErr w:type="spellStart"/>
      <w:r w:rsidRPr="00AC0C50">
        <w:rPr>
          <w:rFonts w:cstheme="majorHAnsi"/>
          <w:szCs w:val="22"/>
        </w:rPr>
        <w:t>Heltzel</w:t>
      </w:r>
      <w:proofErr w:type="spellEnd"/>
      <w:r w:rsidRPr="00AC0C50">
        <w:rPr>
          <w:rFonts w:cstheme="majorHAnsi"/>
          <w:szCs w:val="22"/>
        </w:rPr>
        <w:t xml:space="preserve">, S. E., Davis, D. E., </w:t>
      </w:r>
      <w:proofErr w:type="spellStart"/>
      <w:r w:rsidRPr="00AC0C50">
        <w:rPr>
          <w:rFonts w:cstheme="majorHAnsi"/>
          <w:szCs w:val="22"/>
        </w:rPr>
        <w:t>DeBlaere</w:t>
      </w:r>
      <w:proofErr w:type="spellEnd"/>
      <w:r w:rsidRPr="00AC0C50">
        <w:rPr>
          <w:rFonts w:cstheme="majorHAnsi"/>
          <w:szCs w:val="22"/>
        </w:rPr>
        <w:t xml:space="preserve">, C., Hook, J. N., </w:t>
      </w:r>
      <w:proofErr w:type="spellStart"/>
      <w:r w:rsidRPr="00AC0C50">
        <w:rPr>
          <w:rFonts w:cstheme="majorHAnsi"/>
          <w:szCs w:val="22"/>
        </w:rPr>
        <w:t>Massengale</w:t>
      </w:r>
      <w:proofErr w:type="spellEnd"/>
      <w:r w:rsidRPr="00AC0C50">
        <w:rPr>
          <w:rFonts w:cstheme="majorHAnsi"/>
          <w:szCs w:val="22"/>
        </w:rPr>
        <w:t>, M., Choe, E., &amp; Rice, K. G. (2018). Cultural humility: Pilot study testing the social bonds hypothesis in interethnic couples. Journal of Counseling Psychology, 65, 531–537</w:t>
      </w:r>
    </w:p>
    <w:p w14:paraId="35B160AF" w14:textId="77777777" w:rsidR="00AC0C50" w:rsidRPr="00AC0C50" w:rsidRDefault="00AC0C50" w:rsidP="00D15AA0">
      <w:pPr>
        <w:spacing w:line="276" w:lineRule="auto"/>
        <w:rPr>
          <w:rFonts w:cstheme="majorHAnsi"/>
          <w:szCs w:val="22"/>
        </w:rPr>
      </w:pPr>
    </w:p>
    <w:p w14:paraId="70D6D7FD" w14:textId="77777777" w:rsidR="00AC0C50" w:rsidRPr="00AC0C50" w:rsidRDefault="00AC0C50" w:rsidP="00D15AA0">
      <w:pPr>
        <w:spacing w:line="276" w:lineRule="auto"/>
        <w:rPr>
          <w:rFonts w:cstheme="majorHAnsi"/>
          <w:szCs w:val="22"/>
        </w:rPr>
      </w:pPr>
      <w:r w:rsidRPr="00AC0C50">
        <w:rPr>
          <w:rFonts w:cstheme="majorHAnsi"/>
          <w:szCs w:val="22"/>
        </w:rPr>
        <w:lastRenderedPageBreak/>
        <w:t xml:space="preserve">Mosher, D. K., Hook, J. N., Farrell, J. E., Watkins, C. E., Jr., &amp; Davis, D. E. (2017). Cultural humility. In E. </w:t>
      </w:r>
      <w:proofErr w:type="spellStart"/>
      <w:proofErr w:type="gramStart"/>
      <w:r w:rsidRPr="00AC0C50">
        <w:rPr>
          <w:rFonts w:cstheme="majorHAnsi"/>
          <w:szCs w:val="22"/>
        </w:rPr>
        <w:t>L.WorthingtonJr</w:t>
      </w:r>
      <w:proofErr w:type="spellEnd"/>
      <w:proofErr w:type="gramEnd"/>
      <w:r w:rsidRPr="00AC0C50">
        <w:rPr>
          <w:rFonts w:cstheme="majorHAnsi"/>
          <w:szCs w:val="22"/>
        </w:rPr>
        <w:t xml:space="preserve">., D. </w:t>
      </w:r>
      <w:proofErr w:type="spellStart"/>
      <w:r w:rsidRPr="00AC0C50">
        <w:rPr>
          <w:rFonts w:cstheme="majorHAnsi"/>
          <w:szCs w:val="22"/>
        </w:rPr>
        <w:t>E.Davis</w:t>
      </w:r>
      <w:proofErr w:type="spellEnd"/>
      <w:r w:rsidRPr="00AC0C50">
        <w:rPr>
          <w:rFonts w:cstheme="majorHAnsi"/>
          <w:szCs w:val="22"/>
        </w:rPr>
        <w:t xml:space="preserve">, &amp; J. </w:t>
      </w:r>
      <w:proofErr w:type="spellStart"/>
      <w:r w:rsidRPr="00AC0C50">
        <w:rPr>
          <w:rFonts w:cstheme="majorHAnsi"/>
          <w:szCs w:val="22"/>
        </w:rPr>
        <w:t>N.Hook</w:t>
      </w:r>
      <w:proofErr w:type="spellEnd"/>
      <w:r w:rsidRPr="00AC0C50">
        <w:rPr>
          <w:rFonts w:cstheme="majorHAnsi"/>
          <w:szCs w:val="22"/>
        </w:rPr>
        <w:t xml:space="preserve"> (Eds.), Handbook of humility: Theory, research, and application (pp. 91–104). New York, NY: Routledge/Taylor &amp; Francis Group</w:t>
      </w:r>
    </w:p>
    <w:p w14:paraId="7D28EA82" w14:textId="77777777" w:rsidR="00AC0C50" w:rsidRPr="00AC0C50" w:rsidRDefault="00AC0C50" w:rsidP="00D15AA0">
      <w:pPr>
        <w:spacing w:line="276" w:lineRule="auto"/>
        <w:rPr>
          <w:rFonts w:cstheme="majorHAnsi"/>
          <w:szCs w:val="22"/>
        </w:rPr>
      </w:pPr>
    </w:p>
    <w:p w14:paraId="25B9891F" w14:textId="77777777" w:rsidR="00AC0C50" w:rsidRPr="00AC0C50" w:rsidRDefault="00AC0C50" w:rsidP="00D15AA0">
      <w:pPr>
        <w:spacing w:line="276" w:lineRule="auto"/>
        <w:rPr>
          <w:rFonts w:cstheme="majorHAnsi"/>
          <w:szCs w:val="22"/>
        </w:rPr>
      </w:pPr>
      <w:r w:rsidRPr="00AC0C50">
        <w:rPr>
          <w:rFonts w:cstheme="majorHAnsi"/>
          <w:szCs w:val="22"/>
        </w:rPr>
        <w:t xml:space="preserve">Owen, J., Tao, K. W., </w:t>
      </w:r>
      <w:proofErr w:type="spellStart"/>
      <w:r w:rsidRPr="00AC0C50">
        <w:rPr>
          <w:rFonts w:cstheme="majorHAnsi"/>
          <w:szCs w:val="22"/>
        </w:rPr>
        <w:t>Drinane</w:t>
      </w:r>
      <w:proofErr w:type="spellEnd"/>
      <w:r w:rsidRPr="00AC0C50">
        <w:rPr>
          <w:rFonts w:cstheme="majorHAnsi"/>
          <w:szCs w:val="22"/>
        </w:rPr>
        <w:t>, J. M., Hook, J., Davis, D. E., &amp; Kune, N. F. (2016). Client perceptions of therapists’ multicultural orientation: Cultural (missed) opportunities and cultural humility. Professional Psychology, Research and Practice, 47, 30–37</w:t>
      </w:r>
    </w:p>
    <w:p w14:paraId="59CE2288" w14:textId="77777777" w:rsidR="00AC0C50" w:rsidRPr="00AC0C50" w:rsidRDefault="00AC0C50" w:rsidP="00D15AA0">
      <w:pPr>
        <w:spacing w:line="276" w:lineRule="auto"/>
        <w:rPr>
          <w:rFonts w:cstheme="majorHAnsi"/>
          <w:szCs w:val="22"/>
        </w:rPr>
      </w:pPr>
    </w:p>
    <w:p w14:paraId="540FA50E" w14:textId="77777777" w:rsidR="00AC0C50" w:rsidRPr="00AC0C50" w:rsidRDefault="00AC0C50" w:rsidP="00D15AA0">
      <w:pPr>
        <w:spacing w:line="276" w:lineRule="auto"/>
        <w:rPr>
          <w:rFonts w:cstheme="majorHAnsi"/>
          <w:szCs w:val="22"/>
        </w:rPr>
      </w:pPr>
      <w:proofErr w:type="spellStart"/>
      <w:r w:rsidRPr="00AC0C50">
        <w:rPr>
          <w:rFonts w:cstheme="majorHAnsi"/>
          <w:szCs w:val="22"/>
        </w:rPr>
        <w:t>Patallo</w:t>
      </w:r>
      <w:proofErr w:type="spellEnd"/>
      <w:r w:rsidRPr="00AC0C50">
        <w:rPr>
          <w:rFonts w:cstheme="majorHAnsi"/>
          <w:szCs w:val="22"/>
        </w:rPr>
        <w:t>, B. J. (2019). The multicultural guidelines in practice: Cultural humility in clinical training and supervision. Training and Education in Professional Psychology, 13(3), 227–232</w:t>
      </w:r>
    </w:p>
    <w:p w14:paraId="773BE845" w14:textId="77777777" w:rsidR="00AC0C50" w:rsidRPr="00AC0C50" w:rsidRDefault="00AC0C50" w:rsidP="00D15AA0">
      <w:pPr>
        <w:spacing w:line="276" w:lineRule="auto"/>
        <w:rPr>
          <w:rFonts w:cstheme="majorHAnsi"/>
          <w:szCs w:val="22"/>
        </w:rPr>
      </w:pPr>
    </w:p>
    <w:p w14:paraId="504A8545" w14:textId="77777777" w:rsidR="00AC0C50" w:rsidRPr="00AC0C50" w:rsidRDefault="00AC0C50" w:rsidP="00D15AA0">
      <w:pPr>
        <w:spacing w:line="276" w:lineRule="auto"/>
        <w:rPr>
          <w:rFonts w:cstheme="majorHAnsi"/>
          <w:szCs w:val="22"/>
        </w:rPr>
      </w:pPr>
      <w:proofErr w:type="spellStart"/>
      <w:r w:rsidRPr="00AC0C50">
        <w:rPr>
          <w:rFonts w:cstheme="majorHAnsi"/>
          <w:szCs w:val="22"/>
        </w:rPr>
        <w:t>Tervalon</w:t>
      </w:r>
      <w:proofErr w:type="spellEnd"/>
      <w:r w:rsidRPr="00AC0C50">
        <w:rPr>
          <w:rFonts w:cstheme="majorHAnsi"/>
          <w:szCs w:val="22"/>
        </w:rPr>
        <w:t>, M., &amp; Murray-García, J. (1998). Cultural humility versus cultural competence: A critical distinction in defining physician training outcomes in multicultural education. Journal of Health Care for the Poor and Underserved, 9, 117–125</w:t>
      </w:r>
    </w:p>
    <w:p w14:paraId="55E7789D" w14:textId="77777777" w:rsidR="00AC0C50" w:rsidRPr="00AC0C50" w:rsidRDefault="00AC0C50" w:rsidP="00D15AA0">
      <w:pPr>
        <w:spacing w:line="276" w:lineRule="auto"/>
        <w:rPr>
          <w:rFonts w:cstheme="majorHAnsi"/>
          <w:szCs w:val="22"/>
        </w:rPr>
      </w:pPr>
    </w:p>
    <w:p w14:paraId="2C0B02FE" w14:textId="77777777" w:rsidR="00AC0C50" w:rsidRPr="00AC0C50" w:rsidRDefault="00AC0C50" w:rsidP="00D15AA0">
      <w:pPr>
        <w:spacing w:line="276" w:lineRule="auto"/>
        <w:rPr>
          <w:rFonts w:cstheme="majorHAnsi"/>
          <w:szCs w:val="22"/>
        </w:rPr>
      </w:pPr>
      <w:r w:rsidRPr="00AC0C50">
        <w:rPr>
          <w:rFonts w:cstheme="majorHAnsi"/>
          <w:szCs w:val="22"/>
        </w:rPr>
        <w:t>Upshaw, N. C., Lewis, D. E., Jr., &amp; Nelson, A. L. (2019). Cultural humility in action: Reflective and process-oriented supervision with Black trainees. Training and Education in Professional Psychology.</w:t>
      </w:r>
    </w:p>
    <w:p w14:paraId="3D7E8997" w14:textId="77777777" w:rsidR="00AC0C50" w:rsidRPr="00AC0C50" w:rsidRDefault="00AC0C50" w:rsidP="00D15AA0">
      <w:pPr>
        <w:spacing w:line="276" w:lineRule="auto"/>
        <w:rPr>
          <w:rFonts w:cstheme="majorHAnsi"/>
          <w:szCs w:val="22"/>
        </w:rPr>
      </w:pPr>
    </w:p>
    <w:p w14:paraId="3A712BFD" w14:textId="77777777" w:rsidR="00AC0C50" w:rsidRPr="00AC0C50" w:rsidRDefault="00AC0C50" w:rsidP="00D15AA0">
      <w:pPr>
        <w:spacing w:line="276" w:lineRule="auto"/>
        <w:rPr>
          <w:rFonts w:cstheme="majorHAnsi"/>
          <w:szCs w:val="22"/>
        </w:rPr>
      </w:pPr>
      <w:r w:rsidRPr="00AC0C50">
        <w:rPr>
          <w:rFonts w:cstheme="majorHAnsi"/>
          <w:szCs w:val="22"/>
        </w:rPr>
        <w:t>Yeager, K. A., &amp; Bauer-Wu, S. (2013). Cultural humility: Essential foundation for clinical researchers. Applied Nursing Research, 26(4), 1-12.</w:t>
      </w:r>
    </w:p>
    <w:p w14:paraId="17F8B36D" w14:textId="77777777" w:rsidR="00AC0C50" w:rsidRPr="00AC0C50" w:rsidRDefault="00AC0C50" w:rsidP="00D15AA0">
      <w:pPr>
        <w:spacing w:line="276" w:lineRule="auto"/>
        <w:rPr>
          <w:lang w:val="en-AU"/>
        </w:rPr>
      </w:pPr>
    </w:p>
    <w:sectPr w:rsidR="00AC0C50" w:rsidRPr="00AC0C50" w:rsidSect="005564DE">
      <w:headerReference w:type="even" r:id="rId8"/>
      <w:headerReference w:type="default" r:id="rId9"/>
      <w:footerReference w:type="default" r:id="rId10"/>
      <w:headerReference w:type="first" r:id="rId11"/>
      <w:footerReference w:type="first" r:id="rId12"/>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EAA34" w14:textId="77777777" w:rsidR="00356EFC" w:rsidRDefault="00356EFC" w:rsidP="00452E05">
      <w:r>
        <w:separator/>
      </w:r>
    </w:p>
  </w:endnote>
  <w:endnote w:type="continuationSeparator" w:id="0">
    <w:p w14:paraId="70CD54B8" w14:textId="77777777" w:rsidR="00356EFC" w:rsidRDefault="00356EFC"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EA49C7" w14:textId="77777777" w:rsidR="00356EFC" w:rsidRDefault="00356EFC" w:rsidP="00452E05">
      <w:r>
        <w:separator/>
      </w:r>
    </w:p>
  </w:footnote>
  <w:footnote w:type="continuationSeparator" w:id="0">
    <w:p w14:paraId="71F26004" w14:textId="77777777" w:rsidR="00356EFC" w:rsidRDefault="00356EFC"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356EFC">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72AEC"/>
    <w:multiLevelType w:val="hybridMultilevel"/>
    <w:tmpl w:val="8DCC346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373CFB"/>
    <w:multiLevelType w:val="hybridMultilevel"/>
    <w:tmpl w:val="6FBCEE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2F2C81"/>
    <w:multiLevelType w:val="hybridMultilevel"/>
    <w:tmpl w:val="08A60E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9805BE"/>
    <w:multiLevelType w:val="hybridMultilevel"/>
    <w:tmpl w:val="09D21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A2302E"/>
    <w:multiLevelType w:val="hybridMultilevel"/>
    <w:tmpl w:val="287A3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D7330F"/>
    <w:multiLevelType w:val="hybridMultilevel"/>
    <w:tmpl w:val="F5BCC8A0"/>
    <w:lvl w:ilvl="0" w:tplc="04090001">
      <w:start w:val="1"/>
      <w:numFmt w:val="bullet"/>
      <w:lvlText w:val=""/>
      <w:lvlJc w:val="left"/>
      <w:pPr>
        <w:ind w:left="2705" w:hanging="360"/>
      </w:pPr>
      <w:rPr>
        <w:rFonts w:ascii="Symbol" w:hAnsi="Symbol"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7" w15:restartNumberingAfterBreak="0">
    <w:nsid w:val="10EF5677"/>
    <w:multiLevelType w:val="hybridMultilevel"/>
    <w:tmpl w:val="BD086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882AB0"/>
    <w:multiLevelType w:val="hybridMultilevel"/>
    <w:tmpl w:val="ED128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D962AA"/>
    <w:multiLevelType w:val="hybridMultilevel"/>
    <w:tmpl w:val="9CB66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915C5B"/>
    <w:multiLevelType w:val="hybridMultilevel"/>
    <w:tmpl w:val="2F0A0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A1B39D6"/>
    <w:multiLevelType w:val="hybridMultilevel"/>
    <w:tmpl w:val="990E4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B8A2217"/>
    <w:multiLevelType w:val="hybridMultilevel"/>
    <w:tmpl w:val="2D28A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B365B0"/>
    <w:multiLevelType w:val="hybridMultilevel"/>
    <w:tmpl w:val="A41C3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E735E8D"/>
    <w:multiLevelType w:val="hybridMultilevel"/>
    <w:tmpl w:val="43DE1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F885060"/>
    <w:multiLevelType w:val="hybridMultilevel"/>
    <w:tmpl w:val="72C44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95615B"/>
    <w:multiLevelType w:val="hybridMultilevel"/>
    <w:tmpl w:val="7BC0F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256CAB"/>
    <w:multiLevelType w:val="hybridMultilevel"/>
    <w:tmpl w:val="65DC3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0952AD"/>
    <w:multiLevelType w:val="hybridMultilevel"/>
    <w:tmpl w:val="0720D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2137DA"/>
    <w:multiLevelType w:val="hybridMultilevel"/>
    <w:tmpl w:val="BF5CABD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4491310D"/>
    <w:multiLevelType w:val="hybridMultilevel"/>
    <w:tmpl w:val="1222F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002E15"/>
    <w:multiLevelType w:val="hybridMultilevel"/>
    <w:tmpl w:val="520E7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CA58FB"/>
    <w:multiLevelType w:val="hybridMultilevel"/>
    <w:tmpl w:val="DA186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1D82159"/>
    <w:multiLevelType w:val="hybridMultilevel"/>
    <w:tmpl w:val="274E4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3EE259D"/>
    <w:multiLevelType w:val="hybridMultilevel"/>
    <w:tmpl w:val="52C84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ED2218"/>
    <w:multiLevelType w:val="hybridMultilevel"/>
    <w:tmpl w:val="4EA0C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59F5A0B"/>
    <w:multiLevelType w:val="hybridMultilevel"/>
    <w:tmpl w:val="6242F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3916317"/>
    <w:multiLevelType w:val="hybridMultilevel"/>
    <w:tmpl w:val="7C3453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B9306E3"/>
    <w:multiLevelType w:val="hybridMultilevel"/>
    <w:tmpl w:val="EB62B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CE07FC4"/>
    <w:multiLevelType w:val="hybridMultilevel"/>
    <w:tmpl w:val="7D3E4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4"/>
  </w:num>
  <w:num w:numId="3">
    <w:abstractNumId w:val="9"/>
  </w:num>
  <w:num w:numId="4">
    <w:abstractNumId w:val="25"/>
  </w:num>
  <w:num w:numId="5">
    <w:abstractNumId w:val="4"/>
  </w:num>
  <w:num w:numId="6">
    <w:abstractNumId w:val="17"/>
  </w:num>
  <w:num w:numId="7">
    <w:abstractNumId w:val="19"/>
  </w:num>
  <w:num w:numId="8">
    <w:abstractNumId w:val="6"/>
  </w:num>
  <w:num w:numId="9">
    <w:abstractNumId w:val="20"/>
  </w:num>
  <w:num w:numId="10">
    <w:abstractNumId w:val="7"/>
  </w:num>
  <w:num w:numId="11">
    <w:abstractNumId w:val="22"/>
  </w:num>
  <w:num w:numId="12">
    <w:abstractNumId w:val="8"/>
  </w:num>
  <w:num w:numId="13">
    <w:abstractNumId w:val="29"/>
  </w:num>
  <w:num w:numId="14">
    <w:abstractNumId w:val="13"/>
  </w:num>
  <w:num w:numId="15">
    <w:abstractNumId w:val="2"/>
  </w:num>
  <w:num w:numId="16">
    <w:abstractNumId w:val="12"/>
  </w:num>
  <w:num w:numId="17">
    <w:abstractNumId w:val="15"/>
  </w:num>
  <w:num w:numId="18">
    <w:abstractNumId w:val="23"/>
  </w:num>
  <w:num w:numId="19">
    <w:abstractNumId w:val="11"/>
  </w:num>
  <w:num w:numId="20">
    <w:abstractNumId w:val="5"/>
  </w:num>
  <w:num w:numId="21">
    <w:abstractNumId w:val="3"/>
  </w:num>
  <w:num w:numId="22">
    <w:abstractNumId w:val="28"/>
  </w:num>
  <w:num w:numId="23">
    <w:abstractNumId w:val="10"/>
  </w:num>
  <w:num w:numId="24">
    <w:abstractNumId w:val="18"/>
  </w:num>
  <w:num w:numId="25">
    <w:abstractNumId w:val="14"/>
  </w:num>
  <w:num w:numId="26">
    <w:abstractNumId w:val="27"/>
  </w:num>
  <w:num w:numId="27">
    <w:abstractNumId w:val="21"/>
  </w:num>
  <w:num w:numId="28">
    <w:abstractNumId w:val="26"/>
  </w:num>
  <w:num w:numId="29">
    <w:abstractNumId w:val="16"/>
  </w:num>
  <w:num w:numId="3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65F0F"/>
    <w:rsid w:val="00083219"/>
    <w:rsid w:val="00092B7C"/>
    <w:rsid w:val="000D6105"/>
    <w:rsid w:val="00127477"/>
    <w:rsid w:val="0013427B"/>
    <w:rsid w:val="001565D4"/>
    <w:rsid w:val="001A66E3"/>
    <w:rsid w:val="001B5BCC"/>
    <w:rsid w:val="0022483A"/>
    <w:rsid w:val="00263F4A"/>
    <w:rsid w:val="0029790B"/>
    <w:rsid w:val="0033676E"/>
    <w:rsid w:val="00347E6A"/>
    <w:rsid w:val="00356EFC"/>
    <w:rsid w:val="0037485F"/>
    <w:rsid w:val="00384C2A"/>
    <w:rsid w:val="00397830"/>
    <w:rsid w:val="003E30BF"/>
    <w:rsid w:val="0041297D"/>
    <w:rsid w:val="004135F6"/>
    <w:rsid w:val="00444794"/>
    <w:rsid w:val="00452E05"/>
    <w:rsid w:val="00476905"/>
    <w:rsid w:val="00494903"/>
    <w:rsid w:val="004A0B5F"/>
    <w:rsid w:val="004F37BB"/>
    <w:rsid w:val="005021EC"/>
    <w:rsid w:val="005364A9"/>
    <w:rsid w:val="005564DE"/>
    <w:rsid w:val="00560EE4"/>
    <w:rsid w:val="00596877"/>
    <w:rsid w:val="005B1C72"/>
    <w:rsid w:val="005B6F71"/>
    <w:rsid w:val="005C0733"/>
    <w:rsid w:val="005E6863"/>
    <w:rsid w:val="00605E2E"/>
    <w:rsid w:val="00630192"/>
    <w:rsid w:val="006575DD"/>
    <w:rsid w:val="006A6FC6"/>
    <w:rsid w:val="006B54C5"/>
    <w:rsid w:val="00710665"/>
    <w:rsid w:val="00725256"/>
    <w:rsid w:val="00752E7B"/>
    <w:rsid w:val="007D0B7D"/>
    <w:rsid w:val="007E32A1"/>
    <w:rsid w:val="007E4752"/>
    <w:rsid w:val="00802D3E"/>
    <w:rsid w:val="0081211C"/>
    <w:rsid w:val="008326DE"/>
    <w:rsid w:val="00836AAB"/>
    <w:rsid w:val="00870603"/>
    <w:rsid w:val="008A66B6"/>
    <w:rsid w:val="008B2E83"/>
    <w:rsid w:val="008C382A"/>
    <w:rsid w:val="00924A6A"/>
    <w:rsid w:val="009D673D"/>
    <w:rsid w:val="009F0315"/>
    <w:rsid w:val="009F4AD0"/>
    <w:rsid w:val="00A3382D"/>
    <w:rsid w:val="00A66683"/>
    <w:rsid w:val="00A72D40"/>
    <w:rsid w:val="00AC0C50"/>
    <w:rsid w:val="00AE153D"/>
    <w:rsid w:val="00B12FB3"/>
    <w:rsid w:val="00B658DB"/>
    <w:rsid w:val="00B9245E"/>
    <w:rsid w:val="00BE0325"/>
    <w:rsid w:val="00C15EC5"/>
    <w:rsid w:val="00C62BC1"/>
    <w:rsid w:val="00D15AA0"/>
    <w:rsid w:val="00DA6CF7"/>
    <w:rsid w:val="00DB345F"/>
    <w:rsid w:val="00DF18F7"/>
    <w:rsid w:val="00DF43A1"/>
    <w:rsid w:val="00DF47F4"/>
    <w:rsid w:val="00E44A4D"/>
    <w:rsid w:val="00E6167D"/>
    <w:rsid w:val="00E74538"/>
    <w:rsid w:val="00E81C8A"/>
    <w:rsid w:val="00E82E56"/>
    <w:rsid w:val="00E944C1"/>
    <w:rsid w:val="00EC2C66"/>
    <w:rsid w:val="00FA07CA"/>
    <w:rsid w:val="00FA6D6F"/>
    <w:rsid w:val="00FB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3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10A4C-5A78-48C7-A2B7-7C2BD1B2C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3310</Words>
  <Characters>18870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2</cp:revision>
  <cp:lastPrinted>2021-01-27T23:33:00Z</cp:lastPrinted>
  <dcterms:created xsi:type="dcterms:W3CDTF">2021-02-05T00:00:00Z</dcterms:created>
  <dcterms:modified xsi:type="dcterms:W3CDTF">2021-02-05T00:00:00Z</dcterms:modified>
</cp:coreProperties>
</file>