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95DC6" w14:textId="77777777" w:rsidR="00BC734F" w:rsidRDefault="00BC734F" w:rsidP="009435ED">
      <w:pPr>
        <w:pStyle w:val="Title"/>
        <w:spacing w:line="276" w:lineRule="auto"/>
        <w:rPr>
          <w:noProof/>
        </w:rPr>
      </w:pPr>
      <w:r>
        <w:rPr>
          <w:noProof/>
        </w:rPr>
        <w:t>PREVENTING SEXUAL HARASSMENT</w:t>
      </w:r>
    </w:p>
    <w:p w14:paraId="7811CA0A" w14:textId="77777777" w:rsidR="00FA6D6F" w:rsidRDefault="00FA6D6F" w:rsidP="009435ED">
      <w:pPr>
        <w:spacing w:line="276" w:lineRule="auto"/>
      </w:pPr>
    </w:p>
    <w:p w14:paraId="6B67DE34" w14:textId="4E2EE4F1" w:rsidR="00DB345F" w:rsidRPr="001565D4" w:rsidRDefault="00DB345F" w:rsidP="009435ED">
      <w:pPr>
        <w:spacing w:line="276" w:lineRule="auto"/>
        <w:jc w:val="center"/>
        <w:rPr>
          <w:rFonts w:cstheme="majorHAnsi"/>
        </w:rPr>
      </w:pPr>
      <w:r w:rsidRPr="001565D4">
        <w:rPr>
          <w:rFonts w:cstheme="majorHAnsi"/>
        </w:rPr>
        <w:t>by Simon Moss</w:t>
      </w:r>
    </w:p>
    <w:p w14:paraId="4E8F1D2B" w14:textId="77777777" w:rsidR="00DB345F" w:rsidRPr="001565D4" w:rsidRDefault="00DB345F" w:rsidP="009435ED">
      <w:pPr>
        <w:spacing w:line="276" w:lineRule="auto"/>
        <w:jc w:val="center"/>
        <w:rPr>
          <w:rFonts w:cstheme="majorHAnsi"/>
        </w:rPr>
      </w:pPr>
    </w:p>
    <w:p w14:paraId="4EF2FC56" w14:textId="77777777" w:rsidR="00FB2B28" w:rsidRDefault="00FB2B28" w:rsidP="009435ED">
      <w:pPr>
        <w:spacing w:line="276" w:lineRule="auto"/>
        <w:ind w:firstLine="720"/>
        <w:rPr>
          <w:rFonts w:ascii="Calibri" w:hAnsi="Calibri"/>
          <w:szCs w:val="22"/>
          <w:lang w:eastAsia="zh-TW"/>
        </w:rPr>
      </w:pPr>
    </w:p>
    <w:p w14:paraId="2C6DA3BB" w14:textId="31654440" w:rsidR="00FB2B28" w:rsidRPr="00BC734F" w:rsidRDefault="00FB2B28" w:rsidP="009435ED">
      <w:pPr>
        <w:pStyle w:val="Heading2"/>
        <w:spacing w:line="276" w:lineRule="auto"/>
        <w:rPr>
          <w:rFonts w:asciiTheme="majorHAnsi" w:hAnsiTheme="majorHAnsi" w:cstheme="majorHAnsi"/>
          <w:lang w:eastAsia="zh-TW"/>
        </w:rPr>
      </w:pPr>
      <w:r w:rsidRPr="00BC734F">
        <w:rPr>
          <w:rFonts w:asciiTheme="majorHAnsi" w:hAnsiTheme="majorHAnsi" w:cstheme="majorHAnsi"/>
          <w:lang w:eastAsia="zh-TW"/>
        </w:rPr>
        <w:t>Introduction</w:t>
      </w:r>
    </w:p>
    <w:p w14:paraId="14F819DA" w14:textId="341AA41A" w:rsidR="00BD6F54" w:rsidRPr="00BC734F" w:rsidRDefault="00BD6F54" w:rsidP="009435ED">
      <w:pPr>
        <w:spacing w:line="276" w:lineRule="auto"/>
        <w:rPr>
          <w:rFonts w:cstheme="majorHAnsi"/>
          <w:lang w:val="en-AU" w:eastAsia="zh-TW"/>
        </w:rPr>
      </w:pPr>
    </w:p>
    <w:p w14:paraId="6F18B16B" w14:textId="77777777" w:rsidR="009435ED" w:rsidRDefault="00BC734F" w:rsidP="009435ED">
      <w:pPr>
        <w:spacing w:line="276" w:lineRule="auto"/>
        <w:rPr>
          <w:rFonts w:cstheme="majorHAnsi"/>
          <w:noProof/>
        </w:rPr>
      </w:pPr>
      <w:r w:rsidRPr="00BC734F">
        <w:rPr>
          <w:rFonts w:cstheme="majorHAnsi"/>
          <w:noProof/>
        </w:rPr>
        <w:t xml:space="preserve">Sexual harassment has become an increasingly significant issue at universities. After years of advocacy from many communities, in 2016, the Australian Human Rights Commission administered a survey to gauge the prevalence, nature, and reporting of sexual harassment and sexual assult at Australian universities—part of a campaign called Respect Now Always.  </w:t>
      </w:r>
    </w:p>
    <w:p w14:paraId="488062F5" w14:textId="77777777" w:rsidR="009435ED" w:rsidRDefault="009435ED" w:rsidP="009435ED">
      <w:pPr>
        <w:spacing w:line="276" w:lineRule="auto"/>
        <w:ind w:firstLine="720"/>
        <w:rPr>
          <w:rFonts w:cstheme="majorHAnsi"/>
          <w:noProof/>
        </w:rPr>
      </w:pPr>
    </w:p>
    <w:p w14:paraId="28228850" w14:textId="215B595F" w:rsidR="00BC734F" w:rsidRPr="00BC734F" w:rsidRDefault="00BC734F" w:rsidP="009435ED">
      <w:pPr>
        <w:spacing w:line="276" w:lineRule="auto"/>
        <w:rPr>
          <w:rFonts w:cstheme="majorHAnsi"/>
          <w:noProof/>
        </w:rPr>
      </w:pPr>
      <w:r w:rsidRPr="00BC734F">
        <w:rPr>
          <w:rFonts w:cstheme="majorHAnsi"/>
          <w:noProof/>
        </w:rPr>
        <w:t xml:space="preserve">The results were startling.  For example, about 50% of students reported they had been targets of sexual harassment and 26% at the university.  Furthermore, about 7% of students reported they had been targets of sexual assault and almost 2% at the university.  The figures were similar, but lower, at Charles Darwin University.  </w:t>
      </w:r>
    </w:p>
    <w:p w14:paraId="56588DA6" w14:textId="77777777" w:rsidR="009435ED" w:rsidRDefault="009435ED" w:rsidP="009435ED">
      <w:pPr>
        <w:spacing w:line="276" w:lineRule="auto"/>
        <w:rPr>
          <w:rFonts w:cstheme="majorHAnsi"/>
          <w:noProof/>
        </w:rPr>
      </w:pPr>
    </w:p>
    <w:p w14:paraId="4FD42C65" w14:textId="2D41F4C9" w:rsidR="00BC734F" w:rsidRPr="00BC734F" w:rsidRDefault="00BC734F" w:rsidP="009435ED">
      <w:pPr>
        <w:spacing w:line="276" w:lineRule="auto"/>
        <w:rPr>
          <w:rFonts w:cstheme="majorHAnsi"/>
          <w:noProof/>
        </w:rPr>
      </w:pPr>
      <w:r w:rsidRPr="00BC734F">
        <w:rPr>
          <w:rFonts w:cstheme="majorHAnsi"/>
          <w:noProof/>
        </w:rPr>
        <w:t xml:space="preserve">The most common manifestations of sexual harassment included inappropriate leering, intrusive questions about private lives or comments about physical appearance, and offensive jokes of a sexual nature.  The perpetrators were most other students but sometimes tutors or lecturers.  Many targets of sexual harassment did not report the problem because they felt such behavior is regarded as normal in Australia.  The Appendix presents the 10 key actions that all universities have pledged to implement.   </w:t>
      </w:r>
    </w:p>
    <w:p w14:paraId="7113FDBD" w14:textId="77777777" w:rsidR="009435ED" w:rsidRDefault="009435ED" w:rsidP="009435ED">
      <w:pPr>
        <w:spacing w:line="276" w:lineRule="auto"/>
        <w:rPr>
          <w:rFonts w:cstheme="majorHAnsi"/>
          <w:noProof/>
        </w:rPr>
      </w:pPr>
    </w:p>
    <w:p w14:paraId="19B7F589" w14:textId="71AC10F8" w:rsidR="00BC734F" w:rsidRPr="00BC734F" w:rsidRDefault="00BC734F" w:rsidP="009435ED">
      <w:pPr>
        <w:spacing w:line="276" w:lineRule="auto"/>
        <w:rPr>
          <w:rFonts w:cstheme="majorHAnsi"/>
          <w:noProof/>
        </w:rPr>
      </w:pPr>
      <w:r w:rsidRPr="00BC734F">
        <w:rPr>
          <w:rFonts w:cstheme="majorHAnsi"/>
          <w:noProof/>
        </w:rPr>
        <w:t xml:space="preserve">You might feel this issue is not relevant to you.  You might perceive yourself as too kind to be a perspetrator or too resilient to be a target.  But, these assumptions demonstrate limited awareness of both the complexities and nuances of this issue. </w:t>
      </w:r>
    </w:p>
    <w:p w14:paraId="306346F8" w14:textId="6BA676A7" w:rsidR="00BC734F" w:rsidRPr="00BC734F" w:rsidRDefault="00BC734F" w:rsidP="009435ED">
      <w:pPr>
        <w:spacing w:line="276" w:lineRule="auto"/>
        <w:rPr>
          <w:rFonts w:cstheme="majorHAnsi"/>
          <w:noProof/>
        </w:rPr>
      </w:pPr>
    </w:p>
    <w:p w14:paraId="6C22C759" w14:textId="0D4683B7" w:rsidR="00BC734F" w:rsidRPr="00BC734F" w:rsidRDefault="00BC734F" w:rsidP="009435ED">
      <w:pPr>
        <w:spacing w:line="276" w:lineRule="auto"/>
        <w:rPr>
          <w:rFonts w:cstheme="majorHAnsi"/>
          <w:noProof/>
        </w:rPr>
      </w:pPr>
    </w:p>
    <w:p w14:paraId="6537C9FC" w14:textId="6148A40E" w:rsidR="00BC734F" w:rsidRPr="00BC734F" w:rsidRDefault="00BC734F" w:rsidP="009435ED">
      <w:pPr>
        <w:pStyle w:val="Heading2"/>
        <w:spacing w:line="276" w:lineRule="auto"/>
        <w:rPr>
          <w:rFonts w:asciiTheme="majorHAnsi" w:hAnsiTheme="majorHAnsi" w:cstheme="majorHAnsi"/>
          <w:noProof/>
        </w:rPr>
      </w:pPr>
      <w:r w:rsidRPr="00BC734F">
        <w:rPr>
          <w:rFonts w:asciiTheme="majorHAnsi" w:hAnsiTheme="majorHAnsi" w:cstheme="majorHAnsi"/>
          <w:noProof/>
        </w:rPr>
        <w:t>Common misconceptions</w:t>
      </w:r>
    </w:p>
    <w:p w14:paraId="3ACA9D67" w14:textId="0A055CFA" w:rsidR="00BC734F" w:rsidRPr="00BC734F" w:rsidRDefault="00BC734F" w:rsidP="009435ED">
      <w:pPr>
        <w:spacing w:line="276" w:lineRule="auto"/>
        <w:rPr>
          <w:rFonts w:cstheme="majorHAnsi"/>
          <w:lang w:val="en-AU"/>
        </w:rPr>
      </w:pPr>
    </w:p>
    <w:p w14:paraId="50C9EB69" w14:textId="77777777" w:rsidR="00BC734F" w:rsidRPr="00BC734F" w:rsidRDefault="00BC734F" w:rsidP="009435ED">
      <w:pPr>
        <w:spacing w:line="276" w:lineRule="auto"/>
        <w:rPr>
          <w:rFonts w:cstheme="majorHAnsi"/>
          <w:noProof/>
        </w:rPr>
      </w:pPr>
      <w:r w:rsidRPr="00BC734F">
        <w:rPr>
          <w:rFonts w:cstheme="majorHAnsi"/>
          <w:noProof/>
        </w:rPr>
        <w:t xml:space="preserve">To demonstrate these complexities and nuances, please decide which of the following statements are true or false. </w:t>
      </w:r>
    </w:p>
    <w:p w14:paraId="6D58FA27" w14:textId="77777777" w:rsidR="00BC734F" w:rsidRPr="00BC734F" w:rsidRDefault="00BC734F" w:rsidP="009435ED">
      <w:pPr>
        <w:spacing w:line="276" w:lineRule="auto"/>
        <w:rPr>
          <w:rFonts w:cstheme="majorHAnsi"/>
          <w:noProof/>
        </w:rPr>
      </w:pPr>
    </w:p>
    <w:tbl>
      <w:tblPr>
        <w:tblStyle w:val="TableGrid"/>
        <w:tblW w:w="932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9326"/>
      </w:tblGrid>
      <w:tr w:rsidR="00BC734F" w:rsidRPr="00BC734F" w14:paraId="4A897D43" w14:textId="77777777" w:rsidTr="00BC734F">
        <w:tc>
          <w:tcPr>
            <w:tcW w:w="9326" w:type="dxa"/>
            <w:shd w:val="clear" w:color="auto" w:fill="C6EBD6" w:themeFill="accent5" w:themeFillTint="66"/>
          </w:tcPr>
          <w:p w14:paraId="0981904D" w14:textId="77777777" w:rsidR="00BC734F" w:rsidRPr="00BC734F" w:rsidRDefault="00BC734F" w:rsidP="009435ED">
            <w:pPr>
              <w:spacing w:line="276" w:lineRule="auto"/>
              <w:rPr>
                <w:rFonts w:cstheme="majorHAnsi"/>
                <w:b/>
                <w:noProof/>
              </w:rPr>
            </w:pPr>
            <w:r w:rsidRPr="00BC734F">
              <w:rPr>
                <w:rFonts w:cstheme="majorHAnsi"/>
                <w:b/>
                <w:noProof/>
              </w:rPr>
              <w:t>True or false?</w:t>
            </w:r>
          </w:p>
        </w:tc>
      </w:tr>
      <w:tr w:rsidR="00BC734F" w:rsidRPr="00BC734F" w14:paraId="25A62AC9" w14:textId="77777777" w:rsidTr="00BC734F">
        <w:trPr>
          <w:trHeight w:val="342"/>
        </w:trPr>
        <w:tc>
          <w:tcPr>
            <w:tcW w:w="9326" w:type="dxa"/>
            <w:shd w:val="clear" w:color="auto" w:fill="D9D9D9" w:themeFill="background1" w:themeFillShade="D9"/>
          </w:tcPr>
          <w:p w14:paraId="17976263" w14:textId="77777777" w:rsidR="00BC734F" w:rsidRPr="00BC734F" w:rsidRDefault="00BC734F" w:rsidP="009435ED">
            <w:pPr>
              <w:spacing w:line="276" w:lineRule="auto"/>
              <w:rPr>
                <w:rFonts w:cstheme="majorHAnsi"/>
              </w:rPr>
            </w:pPr>
            <w:r w:rsidRPr="00BC734F">
              <w:rPr>
                <w:rFonts w:cstheme="majorHAnsi"/>
                <w:noProof/>
              </w:rPr>
              <w:t xml:space="preserve">Relative to other women, women who supervise other people are especially likely to be the targets of sexual harassment.  </w:t>
            </w:r>
          </w:p>
        </w:tc>
      </w:tr>
      <w:tr w:rsidR="00BC734F" w:rsidRPr="00BC734F" w14:paraId="6AB456E1" w14:textId="77777777" w:rsidTr="00BC734F">
        <w:trPr>
          <w:trHeight w:val="383"/>
        </w:trPr>
        <w:tc>
          <w:tcPr>
            <w:tcW w:w="9326" w:type="dxa"/>
            <w:shd w:val="clear" w:color="auto" w:fill="D9D9D9" w:themeFill="background1" w:themeFillShade="D9"/>
          </w:tcPr>
          <w:p w14:paraId="72C42B0C" w14:textId="77777777" w:rsidR="00BC734F" w:rsidRPr="00BC734F" w:rsidRDefault="00BC734F" w:rsidP="009435ED">
            <w:pPr>
              <w:spacing w:line="276" w:lineRule="auto"/>
              <w:rPr>
                <w:rFonts w:cstheme="majorHAnsi"/>
                <w:noProof/>
              </w:rPr>
            </w:pPr>
            <w:r w:rsidRPr="00BC734F">
              <w:rPr>
                <w:rFonts w:cstheme="majorHAnsi"/>
                <w:noProof/>
              </w:rPr>
              <w:t xml:space="preserve">People who have been the target of many, rather than one or two, instances of sexual harassment are more likely to attempt to convince themselves these incidences were insignificant  </w:t>
            </w:r>
          </w:p>
        </w:tc>
      </w:tr>
      <w:tr w:rsidR="00BC734F" w:rsidRPr="00BC734F" w14:paraId="7D6F06FB" w14:textId="77777777" w:rsidTr="00BC734F">
        <w:trPr>
          <w:trHeight w:val="383"/>
        </w:trPr>
        <w:tc>
          <w:tcPr>
            <w:tcW w:w="9326" w:type="dxa"/>
            <w:shd w:val="clear" w:color="auto" w:fill="D9D9D9" w:themeFill="background1" w:themeFillShade="D9"/>
          </w:tcPr>
          <w:p w14:paraId="2375E8C1" w14:textId="77777777" w:rsidR="00BC734F" w:rsidRPr="00BC734F" w:rsidRDefault="00BC734F" w:rsidP="009435ED">
            <w:pPr>
              <w:spacing w:line="276" w:lineRule="auto"/>
              <w:rPr>
                <w:rFonts w:cstheme="majorHAnsi"/>
                <w:noProof/>
              </w:rPr>
            </w:pPr>
            <w:r w:rsidRPr="00BC734F">
              <w:rPr>
                <w:rFonts w:cstheme="majorHAnsi"/>
                <w:noProof/>
              </w:rPr>
              <w:t xml:space="preserve">Women have have been the target of sexual harassment are often less likely to appear conscientious at work </w:t>
            </w:r>
          </w:p>
        </w:tc>
      </w:tr>
      <w:tr w:rsidR="00BC734F" w:rsidRPr="00BC734F" w14:paraId="6CCB2DB1" w14:textId="77777777" w:rsidTr="00BC734F">
        <w:trPr>
          <w:trHeight w:val="383"/>
        </w:trPr>
        <w:tc>
          <w:tcPr>
            <w:tcW w:w="9326" w:type="dxa"/>
            <w:shd w:val="clear" w:color="auto" w:fill="D9D9D9" w:themeFill="background1" w:themeFillShade="D9"/>
          </w:tcPr>
          <w:p w14:paraId="276BC757" w14:textId="77777777" w:rsidR="00BC734F" w:rsidRPr="00BC734F" w:rsidRDefault="00BC734F" w:rsidP="009435ED">
            <w:pPr>
              <w:spacing w:line="276" w:lineRule="auto"/>
              <w:rPr>
                <w:rFonts w:cstheme="majorHAnsi"/>
                <w:noProof/>
              </w:rPr>
            </w:pPr>
            <w:r w:rsidRPr="00BC734F">
              <w:rPr>
                <w:rFonts w:cstheme="majorHAnsi"/>
                <w:noProof/>
              </w:rPr>
              <w:lastRenderedPageBreak/>
              <w:t>Men who frequently perpetrate sexual harassment are more likely than other men to maintain eye contact while speaking to women—especially younger women</w:t>
            </w:r>
          </w:p>
        </w:tc>
      </w:tr>
      <w:tr w:rsidR="00BC734F" w:rsidRPr="00BC734F" w14:paraId="54F40B79" w14:textId="77777777" w:rsidTr="00BC734F">
        <w:trPr>
          <w:trHeight w:val="383"/>
        </w:trPr>
        <w:tc>
          <w:tcPr>
            <w:tcW w:w="9326" w:type="dxa"/>
            <w:shd w:val="clear" w:color="auto" w:fill="D9D9D9" w:themeFill="background1" w:themeFillShade="D9"/>
          </w:tcPr>
          <w:p w14:paraId="49A4DE61" w14:textId="77777777" w:rsidR="00BC734F" w:rsidRPr="00BC734F" w:rsidRDefault="00BC734F" w:rsidP="009435ED">
            <w:pPr>
              <w:spacing w:line="276" w:lineRule="auto"/>
              <w:rPr>
                <w:rFonts w:cstheme="majorHAnsi"/>
                <w:noProof/>
              </w:rPr>
            </w:pPr>
            <w:r w:rsidRPr="00BC734F">
              <w:rPr>
                <w:rFonts w:cstheme="majorHAnsi"/>
                <w:noProof/>
              </w:rPr>
              <w:t>If people believe the intelligence and character of humans is fixed rather than modifiable, they are more likely to reject information in workshops that diverge from their preconceptions</w:t>
            </w:r>
          </w:p>
        </w:tc>
      </w:tr>
      <w:tr w:rsidR="00BC734F" w:rsidRPr="00BC734F" w14:paraId="26DCAE14" w14:textId="77777777" w:rsidTr="00BC734F">
        <w:trPr>
          <w:trHeight w:val="383"/>
        </w:trPr>
        <w:tc>
          <w:tcPr>
            <w:tcW w:w="9326" w:type="dxa"/>
            <w:shd w:val="clear" w:color="auto" w:fill="D9D9D9" w:themeFill="background1" w:themeFillShade="D9"/>
          </w:tcPr>
          <w:p w14:paraId="316911CD" w14:textId="77777777" w:rsidR="00BC734F" w:rsidRPr="00BC734F" w:rsidRDefault="00BC734F" w:rsidP="009435ED">
            <w:pPr>
              <w:spacing w:line="276" w:lineRule="auto"/>
              <w:rPr>
                <w:rFonts w:cstheme="majorHAnsi"/>
              </w:rPr>
            </w:pPr>
            <w:r w:rsidRPr="00BC734F">
              <w:rPr>
                <w:rFonts w:cstheme="majorHAnsi"/>
                <w:noProof/>
              </w:rPr>
              <w:t xml:space="preserve">In a bar, as closing time approaches, people feel that individuals of the opposite sex seem more attractive.  This feeling of attraction, however, does not last until the next day    </w:t>
            </w:r>
          </w:p>
        </w:tc>
      </w:tr>
    </w:tbl>
    <w:p w14:paraId="7B0F0F7A" w14:textId="77777777" w:rsidR="00BC734F" w:rsidRPr="00BC734F" w:rsidRDefault="00BC734F" w:rsidP="009435ED">
      <w:pPr>
        <w:spacing w:line="276" w:lineRule="auto"/>
        <w:rPr>
          <w:rFonts w:cstheme="majorHAnsi"/>
          <w:noProof/>
        </w:rPr>
      </w:pPr>
    </w:p>
    <w:p w14:paraId="0BD1AFD6" w14:textId="77777777" w:rsidR="00BC734F" w:rsidRPr="00BC734F" w:rsidRDefault="00BC734F" w:rsidP="009435ED">
      <w:pPr>
        <w:spacing w:line="276" w:lineRule="auto"/>
        <w:rPr>
          <w:rFonts w:cstheme="majorHAnsi"/>
          <w:noProof/>
        </w:rPr>
      </w:pPr>
      <w:r w:rsidRPr="00BC734F">
        <w:rPr>
          <w:rFonts w:cstheme="majorHAnsi"/>
          <w:noProof/>
        </w:rPr>
        <w:tab/>
        <w:t xml:space="preserve">If you believed that any of these statements were false, you are incorrect.  Each of these statements have been substantiated empirically. </w:t>
      </w:r>
    </w:p>
    <w:p w14:paraId="0ACC8D29" w14:textId="26FA4169" w:rsidR="00BC734F" w:rsidRDefault="00BC734F" w:rsidP="009435ED">
      <w:pPr>
        <w:spacing w:line="276" w:lineRule="auto"/>
        <w:rPr>
          <w:rFonts w:cstheme="majorHAnsi"/>
          <w:lang w:val="en-AU"/>
        </w:rPr>
      </w:pPr>
    </w:p>
    <w:p w14:paraId="69AC1576" w14:textId="09C0322D" w:rsidR="009435ED" w:rsidRDefault="009435ED" w:rsidP="009435ED">
      <w:pPr>
        <w:spacing w:line="276" w:lineRule="auto"/>
        <w:rPr>
          <w:rFonts w:cstheme="majorHAnsi"/>
          <w:lang w:val="en-AU"/>
        </w:rPr>
      </w:pPr>
    </w:p>
    <w:p w14:paraId="2D51A7D0" w14:textId="77777777" w:rsidR="009435ED" w:rsidRPr="00BC734F" w:rsidRDefault="009435ED" w:rsidP="009435ED">
      <w:pPr>
        <w:spacing w:line="276" w:lineRule="auto"/>
        <w:rPr>
          <w:rFonts w:cstheme="majorHAnsi"/>
          <w:lang w:val="en-AU"/>
        </w:rPr>
      </w:pPr>
    </w:p>
    <w:p w14:paraId="7D165082" w14:textId="735855CE" w:rsidR="00BC734F" w:rsidRPr="00BC734F" w:rsidRDefault="00BC734F" w:rsidP="009435ED">
      <w:pPr>
        <w:pStyle w:val="Heading2"/>
        <w:spacing w:line="276" w:lineRule="auto"/>
        <w:rPr>
          <w:rFonts w:asciiTheme="majorHAnsi" w:hAnsiTheme="majorHAnsi" w:cstheme="majorHAnsi"/>
          <w:noProof/>
        </w:rPr>
      </w:pPr>
      <w:r w:rsidRPr="00BC734F">
        <w:rPr>
          <w:rFonts w:asciiTheme="majorHAnsi" w:hAnsiTheme="majorHAnsi" w:cstheme="majorHAnsi"/>
          <w:noProof/>
        </w:rPr>
        <w:t>Obligations of PhD and Masters by Research candidates</w:t>
      </w:r>
    </w:p>
    <w:p w14:paraId="28E16E54" w14:textId="6B524C21" w:rsidR="00BC734F" w:rsidRPr="00BC734F" w:rsidRDefault="00BC734F" w:rsidP="009435ED">
      <w:pPr>
        <w:spacing w:line="276" w:lineRule="auto"/>
        <w:rPr>
          <w:rFonts w:cstheme="majorHAnsi"/>
          <w:lang w:val="en-AU"/>
        </w:rPr>
      </w:pPr>
    </w:p>
    <w:p w14:paraId="7BC4CAC9" w14:textId="77777777" w:rsidR="00BC734F" w:rsidRPr="00BC734F" w:rsidRDefault="00BC734F" w:rsidP="009435ED">
      <w:pPr>
        <w:spacing w:line="276" w:lineRule="auto"/>
        <w:rPr>
          <w:rFonts w:cstheme="majorHAnsi"/>
          <w:noProof/>
          <w:szCs w:val="22"/>
        </w:rPr>
      </w:pPr>
      <w:r w:rsidRPr="00BC734F">
        <w:rPr>
          <w:rFonts w:cstheme="majorHAnsi"/>
          <w:noProof/>
          <w:szCs w:val="22"/>
        </w:rPr>
        <w:t xml:space="preserve">To help research candidates understand the subtleties of consent, communication, and support around sexual matters, first watch Consent Matters, available at </w:t>
      </w:r>
      <w:hyperlink r:id="rId8" w:history="1">
        <w:r w:rsidRPr="00BC734F">
          <w:rPr>
            <w:rStyle w:val="Hyperlink"/>
            <w:rFonts w:cstheme="majorHAnsi"/>
            <w:noProof/>
            <w:sz w:val="22"/>
            <w:szCs w:val="22"/>
          </w:rPr>
          <w:t>https://studying.epigeum.com/how-it-works</w:t>
        </w:r>
      </w:hyperlink>
      <w:r w:rsidRPr="00BC734F">
        <w:rPr>
          <w:rFonts w:cstheme="majorHAnsi"/>
          <w:noProof/>
          <w:szCs w:val="22"/>
        </w:rPr>
        <w:t>. In particular, from this site</w:t>
      </w:r>
    </w:p>
    <w:p w14:paraId="47A47D1A" w14:textId="77777777" w:rsidR="00BC734F" w:rsidRPr="00BC734F" w:rsidRDefault="00BC734F" w:rsidP="009435ED">
      <w:pPr>
        <w:spacing w:line="276" w:lineRule="auto"/>
        <w:ind w:left="360"/>
        <w:rPr>
          <w:rFonts w:cstheme="majorHAnsi"/>
          <w:noProof/>
          <w:szCs w:val="22"/>
        </w:rPr>
      </w:pPr>
    </w:p>
    <w:p w14:paraId="0C60207F" w14:textId="77777777" w:rsidR="00BC734F" w:rsidRPr="00BC734F" w:rsidRDefault="00BC734F" w:rsidP="009435ED">
      <w:pPr>
        <w:pStyle w:val="ListParagraph"/>
        <w:numPr>
          <w:ilvl w:val="0"/>
          <w:numId w:val="15"/>
        </w:numPr>
        <w:spacing w:before="0" w:after="0" w:line="276" w:lineRule="auto"/>
        <w:ind w:left="360"/>
        <w:rPr>
          <w:rFonts w:cstheme="majorHAnsi"/>
          <w:noProof/>
          <w:szCs w:val="22"/>
        </w:rPr>
      </w:pPr>
      <w:r w:rsidRPr="00BC734F">
        <w:rPr>
          <w:rFonts w:cstheme="majorHAnsi"/>
          <w:noProof/>
          <w:szCs w:val="22"/>
        </w:rPr>
        <w:t>Press Register Now, and then complete the details.  Register using your your @cdu.edu.au email address</w:t>
      </w:r>
    </w:p>
    <w:p w14:paraId="5ECB57A4" w14:textId="77777777" w:rsidR="00BC734F" w:rsidRPr="00BC734F" w:rsidRDefault="00BC734F" w:rsidP="009435ED">
      <w:pPr>
        <w:pStyle w:val="ListParagraph"/>
        <w:numPr>
          <w:ilvl w:val="0"/>
          <w:numId w:val="15"/>
        </w:numPr>
        <w:spacing w:before="0" w:after="0" w:line="276" w:lineRule="auto"/>
        <w:ind w:left="360"/>
        <w:rPr>
          <w:rFonts w:cstheme="majorHAnsi"/>
          <w:noProof/>
          <w:szCs w:val="22"/>
        </w:rPr>
      </w:pPr>
      <w:r w:rsidRPr="00BC734F">
        <w:rPr>
          <w:rFonts w:cstheme="majorHAnsi"/>
          <w:noProof/>
          <w:szCs w:val="22"/>
        </w:rPr>
        <w:t>You should then receive an email—either in your inbox or junk male—to activate your account</w:t>
      </w:r>
    </w:p>
    <w:p w14:paraId="39EE0E90" w14:textId="77777777" w:rsidR="00BC734F" w:rsidRPr="00BC734F" w:rsidRDefault="00BC734F" w:rsidP="009435ED">
      <w:pPr>
        <w:pStyle w:val="ListParagraph"/>
        <w:numPr>
          <w:ilvl w:val="0"/>
          <w:numId w:val="15"/>
        </w:numPr>
        <w:spacing w:before="0" w:after="0" w:line="276" w:lineRule="auto"/>
        <w:ind w:left="360"/>
        <w:rPr>
          <w:rFonts w:cstheme="majorHAnsi"/>
          <w:noProof/>
          <w:szCs w:val="22"/>
        </w:rPr>
      </w:pPr>
      <w:r w:rsidRPr="00BC734F">
        <w:rPr>
          <w:rFonts w:cstheme="majorHAnsi"/>
          <w:noProof/>
          <w:szCs w:val="22"/>
        </w:rPr>
        <w:t>Then log in and choose Consent Matters – Australian Version from the list of online courses available.</w:t>
      </w:r>
    </w:p>
    <w:p w14:paraId="7CB177EF" w14:textId="77777777" w:rsidR="00BC734F" w:rsidRPr="00BC734F" w:rsidRDefault="00BC734F" w:rsidP="009435ED">
      <w:pPr>
        <w:pStyle w:val="ListParagraph"/>
        <w:numPr>
          <w:ilvl w:val="0"/>
          <w:numId w:val="15"/>
        </w:numPr>
        <w:spacing w:before="0" w:after="0" w:line="276" w:lineRule="auto"/>
        <w:ind w:left="360"/>
        <w:rPr>
          <w:rFonts w:cstheme="majorHAnsi"/>
          <w:noProof/>
          <w:szCs w:val="22"/>
        </w:rPr>
      </w:pPr>
      <w:r w:rsidRPr="00BC734F">
        <w:rPr>
          <w:rFonts w:cstheme="majorHAnsi"/>
          <w:noProof/>
          <w:szCs w:val="22"/>
        </w:rPr>
        <w:t>To complete the course, progress through the topics listed on the left side.</w:t>
      </w:r>
    </w:p>
    <w:p w14:paraId="3F5312EC" w14:textId="77777777" w:rsidR="00BC734F" w:rsidRPr="00BC734F" w:rsidRDefault="00BC734F" w:rsidP="009435ED">
      <w:pPr>
        <w:pStyle w:val="ListParagraph"/>
        <w:numPr>
          <w:ilvl w:val="0"/>
          <w:numId w:val="15"/>
        </w:numPr>
        <w:spacing w:before="0" w:after="0" w:line="276" w:lineRule="auto"/>
        <w:ind w:left="360"/>
        <w:rPr>
          <w:rFonts w:cstheme="majorHAnsi"/>
          <w:noProof/>
          <w:szCs w:val="22"/>
        </w:rPr>
      </w:pPr>
      <w:r w:rsidRPr="00BC734F">
        <w:rPr>
          <w:rFonts w:cstheme="majorHAnsi"/>
          <w:noProof/>
          <w:szCs w:val="22"/>
        </w:rPr>
        <w:t>Once you finish the course, download the certificate as proof of completion</w:t>
      </w:r>
    </w:p>
    <w:p w14:paraId="7109AE64" w14:textId="77777777" w:rsidR="00BC734F" w:rsidRPr="00BC734F" w:rsidRDefault="00BC734F" w:rsidP="009435ED">
      <w:pPr>
        <w:spacing w:line="276" w:lineRule="auto"/>
        <w:ind w:left="360"/>
        <w:rPr>
          <w:rFonts w:cstheme="majorHAnsi"/>
          <w:noProof/>
          <w:szCs w:val="22"/>
        </w:rPr>
      </w:pPr>
    </w:p>
    <w:p w14:paraId="1B74172F" w14:textId="77777777" w:rsidR="00BC734F" w:rsidRPr="00BC734F" w:rsidRDefault="00BC734F" w:rsidP="009435ED">
      <w:pPr>
        <w:spacing w:line="276" w:lineRule="auto"/>
        <w:ind w:left="360"/>
        <w:rPr>
          <w:rFonts w:cstheme="majorHAnsi"/>
          <w:noProof/>
          <w:szCs w:val="22"/>
        </w:rPr>
      </w:pPr>
    </w:p>
    <w:p w14:paraId="4FAA2C6E" w14:textId="309FAAA2" w:rsidR="00BC734F" w:rsidRPr="00BC734F" w:rsidRDefault="00BC734F" w:rsidP="009435ED">
      <w:pPr>
        <w:spacing w:line="276" w:lineRule="auto"/>
        <w:rPr>
          <w:rFonts w:cstheme="majorHAnsi"/>
          <w:noProof/>
          <w:szCs w:val="22"/>
        </w:rPr>
      </w:pPr>
      <w:r w:rsidRPr="00BC734F">
        <w:rPr>
          <w:rFonts w:cstheme="majorHAnsi"/>
          <w:noProof/>
          <w:szCs w:val="22"/>
        </w:rPr>
        <w:t>In addition, you should read the CDU policy on preventing sexual harassment and the code of conduct.  Use Google to identify these policies.  As these policies imply</w:t>
      </w:r>
    </w:p>
    <w:p w14:paraId="4E77674E" w14:textId="77777777" w:rsidR="00BC734F" w:rsidRPr="00BC734F" w:rsidRDefault="00BC734F" w:rsidP="009435ED">
      <w:pPr>
        <w:spacing w:line="276" w:lineRule="auto"/>
        <w:ind w:left="360"/>
        <w:rPr>
          <w:rFonts w:cstheme="majorHAnsi"/>
          <w:noProof/>
          <w:szCs w:val="22"/>
        </w:rPr>
      </w:pPr>
    </w:p>
    <w:p w14:paraId="55C2F207" w14:textId="77777777" w:rsidR="00BC734F" w:rsidRPr="00BC734F" w:rsidRDefault="00BC734F" w:rsidP="009435ED">
      <w:pPr>
        <w:pStyle w:val="ListParagraph"/>
        <w:numPr>
          <w:ilvl w:val="0"/>
          <w:numId w:val="15"/>
        </w:numPr>
        <w:spacing w:before="0" w:after="0" w:line="276" w:lineRule="auto"/>
        <w:ind w:left="360"/>
        <w:rPr>
          <w:rFonts w:cstheme="majorHAnsi"/>
          <w:noProof/>
          <w:szCs w:val="22"/>
        </w:rPr>
      </w:pPr>
      <w:r w:rsidRPr="00BC734F">
        <w:rPr>
          <w:rFonts w:cstheme="majorHAnsi"/>
          <w:noProof/>
          <w:szCs w:val="22"/>
        </w:rPr>
        <w:t>If you observe sexual harassment or assault, you should report this behavior as soon as possible—because victims may be reluctant to report initially</w:t>
      </w:r>
    </w:p>
    <w:p w14:paraId="32CBD674" w14:textId="77777777" w:rsidR="00BC734F" w:rsidRPr="00BC734F" w:rsidRDefault="00BC734F" w:rsidP="009435ED">
      <w:pPr>
        <w:pStyle w:val="ListParagraph"/>
        <w:numPr>
          <w:ilvl w:val="0"/>
          <w:numId w:val="15"/>
        </w:numPr>
        <w:spacing w:before="0" w:after="0" w:line="276" w:lineRule="auto"/>
        <w:ind w:left="360"/>
        <w:rPr>
          <w:rFonts w:cstheme="majorHAnsi"/>
          <w:noProof/>
          <w:szCs w:val="22"/>
        </w:rPr>
      </w:pPr>
      <w:r w:rsidRPr="00BC734F">
        <w:rPr>
          <w:rFonts w:cstheme="majorHAnsi"/>
          <w:noProof/>
          <w:szCs w:val="22"/>
        </w:rPr>
        <w:t xml:space="preserve">In particular, you could telephone or email a contact officer.  The contact officer has received training to offer guidance and advice as well as to refer you to the appropriate person. </w:t>
      </w:r>
    </w:p>
    <w:p w14:paraId="50EEE6CC" w14:textId="61414EB3" w:rsidR="00BC734F" w:rsidRPr="00BC734F" w:rsidRDefault="00BC734F" w:rsidP="009435ED">
      <w:pPr>
        <w:pStyle w:val="ListParagraph"/>
        <w:numPr>
          <w:ilvl w:val="0"/>
          <w:numId w:val="15"/>
        </w:numPr>
        <w:spacing w:before="0" w:after="0" w:line="276" w:lineRule="auto"/>
        <w:ind w:left="360"/>
        <w:rPr>
          <w:rStyle w:val="Hyperlink"/>
          <w:rFonts w:cstheme="majorHAnsi"/>
          <w:noProof/>
          <w:color w:val="000000" w:themeColor="text1"/>
          <w:sz w:val="22"/>
          <w:szCs w:val="22"/>
          <w:u w:val="none"/>
        </w:rPr>
      </w:pPr>
      <w:r w:rsidRPr="00BC734F">
        <w:rPr>
          <w:rFonts w:cstheme="majorHAnsi"/>
          <w:noProof/>
          <w:szCs w:val="22"/>
        </w:rPr>
        <w:t xml:space="preserve">For the details of these contact officers, proceed to </w:t>
      </w:r>
      <w:hyperlink r:id="rId9" w:history="1">
        <w:r w:rsidRPr="00BC734F">
          <w:rPr>
            <w:rStyle w:val="Hyperlink"/>
            <w:rFonts w:cstheme="majorHAnsi"/>
            <w:noProof/>
            <w:sz w:val="22"/>
            <w:szCs w:val="22"/>
          </w:rPr>
          <w:t>https://www.cdu.edu.au/opc/contact-officers</w:t>
        </w:r>
      </w:hyperlink>
    </w:p>
    <w:p w14:paraId="21750AA9" w14:textId="6858BFFD" w:rsidR="00BC734F" w:rsidRPr="00BC734F" w:rsidRDefault="00BC734F" w:rsidP="009435ED">
      <w:pPr>
        <w:spacing w:line="276" w:lineRule="auto"/>
        <w:rPr>
          <w:rFonts w:cstheme="majorHAnsi"/>
          <w:noProof/>
          <w:szCs w:val="22"/>
        </w:rPr>
      </w:pPr>
    </w:p>
    <w:p w14:paraId="2FCA2BB2" w14:textId="31900669" w:rsidR="00BC734F" w:rsidRPr="00BC734F" w:rsidRDefault="00BC734F" w:rsidP="009435ED">
      <w:pPr>
        <w:spacing w:line="276" w:lineRule="auto"/>
        <w:rPr>
          <w:rFonts w:cstheme="majorHAnsi"/>
          <w:noProof/>
          <w:szCs w:val="22"/>
        </w:rPr>
      </w:pPr>
    </w:p>
    <w:p w14:paraId="7D52AACE" w14:textId="7861DB0B" w:rsidR="00BC734F" w:rsidRDefault="00BC734F" w:rsidP="009435ED">
      <w:pPr>
        <w:pStyle w:val="Heading2"/>
        <w:spacing w:line="276" w:lineRule="auto"/>
        <w:rPr>
          <w:rFonts w:asciiTheme="majorHAnsi" w:hAnsiTheme="majorHAnsi" w:cstheme="majorHAnsi"/>
          <w:noProof/>
        </w:rPr>
      </w:pPr>
    </w:p>
    <w:p w14:paraId="5D1D3F2A" w14:textId="460D0600" w:rsidR="009435ED" w:rsidRDefault="009435ED" w:rsidP="009435ED">
      <w:pPr>
        <w:rPr>
          <w:lang w:val="en-AU"/>
        </w:rPr>
      </w:pPr>
    </w:p>
    <w:p w14:paraId="7CABFC5F" w14:textId="6CFDC890" w:rsidR="009435ED" w:rsidRDefault="009435ED" w:rsidP="009435ED">
      <w:pPr>
        <w:rPr>
          <w:lang w:val="en-AU"/>
        </w:rPr>
      </w:pPr>
    </w:p>
    <w:p w14:paraId="5F04267C" w14:textId="77777777" w:rsidR="009435ED" w:rsidRPr="009435ED" w:rsidRDefault="009435ED" w:rsidP="009435ED">
      <w:pPr>
        <w:rPr>
          <w:lang w:val="en-AU"/>
        </w:rPr>
      </w:pPr>
    </w:p>
    <w:p w14:paraId="3F1A7E9F" w14:textId="76786B21" w:rsidR="00BC734F" w:rsidRPr="00BC734F" w:rsidRDefault="00BC734F" w:rsidP="009435ED">
      <w:pPr>
        <w:pStyle w:val="Heading2"/>
        <w:spacing w:line="276" w:lineRule="auto"/>
        <w:rPr>
          <w:rFonts w:asciiTheme="majorHAnsi" w:hAnsiTheme="majorHAnsi" w:cstheme="majorHAnsi"/>
        </w:rPr>
      </w:pPr>
      <w:r w:rsidRPr="00BC734F">
        <w:rPr>
          <w:rFonts w:asciiTheme="majorHAnsi" w:hAnsiTheme="majorHAnsi" w:cstheme="majorHAnsi"/>
        </w:rPr>
        <w:lastRenderedPageBreak/>
        <w:t>Contacts</w:t>
      </w:r>
    </w:p>
    <w:p w14:paraId="4F3F6FFE" w14:textId="4C194691" w:rsidR="00BC734F" w:rsidRPr="00BC734F" w:rsidRDefault="00BC734F" w:rsidP="009435ED">
      <w:pPr>
        <w:spacing w:line="276" w:lineRule="auto"/>
        <w:rPr>
          <w:rFonts w:cstheme="majorHAnsi"/>
          <w:lang w:val="en-AU"/>
        </w:rPr>
      </w:pPr>
    </w:p>
    <w:p w14:paraId="00B4FE9F" w14:textId="3A98DA5A" w:rsidR="00BC734F" w:rsidRPr="00BC734F" w:rsidRDefault="00BC734F" w:rsidP="009435ED">
      <w:pPr>
        <w:spacing w:line="276" w:lineRule="auto"/>
        <w:rPr>
          <w:rFonts w:cstheme="majorHAnsi"/>
          <w:lang w:val="en-AU"/>
        </w:rPr>
      </w:pPr>
    </w:p>
    <w:p w14:paraId="5939B3CB" w14:textId="77777777" w:rsidR="00BC734F" w:rsidRPr="00BC734F" w:rsidRDefault="00BC734F" w:rsidP="009435ED">
      <w:pPr>
        <w:spacing w:line="276" w:lineRule="auto"/>
        <w:rPr>
          <w:rFonts w:cstheme="majorHAnsi"/>
          <w:noProof/>
          <w:szCs w:val="22"/>
        </w:rPr>
      </w:pPr>
      <w:r w:rsidRPr="00BC734F">
        <w:rPr>
          <w:rFonts w:cstheme="majorHAnsi"/>
          <w:noProof/>
          <w:szCs w:val="22"/>
        </w:rPr>
        <w:t>If you ever feel unsafe on CDU, please consider the following contacts</w:t>
      </w:r>
    </w:p>
    <w:p w14:paraId="15B35D99" w14:textId="77777777" w:rsidR="00BC734F" w:rsidRPr="00BC734F" w:rsidRDefault="00BC734F" w:rsidP="009435ED">
      <w:pPr>
        <w:spacing w:line="276" w:lineRule="auto"/>
        <w:rPr>
          <w:rFonts w:cstheme="majorHAnsi"/>
          <w:noProof/>
          <w:szCs w:val="22"/>
        </w:rPr>
      </w:pPr>
    </w:p>
    <w:p w14:paraId="1D1A6ACF" w14:textId="77777777" w:rsidR="00BC734F" w:rsidRPr="00BC734F" w:rsidRDefault="00BC734F" w:rsidP="009435ED">
      <w:pPr>
        <w:pStyle w:val="ListParagraph"/>
        <w:numPr>
          <w:ilvl w:val="0"/>
          <w:numId w:val="15"/>
        </w:numPr>
        <w:spacing w:before="0" w:after="0" w:line="276" w:lineRule="auto"/>
        <w:ind w:left="357" w:hanging="357"/>
        <w:rPr>
          <w:rFonts w:cstheme="majorHAnsi"/>
          <w:noProof/>
          <w:szCs w:val="22"/>
        </w:rPr>
      </w:pPr>
      <w:r w:rsidRPr="00BC734F">
        <w:rPr>
          <w:rFonts w:cstheme="majorHAnsi"/>
          <w:noProof/>
          <w:szCs w:val="22"/>
        </w:rPr>
        <w:t>For concerns about security, contact CDU Security on 8946 7777.</w:t>
      </w:r>
    </w:p>
    <w:p w14:paraId="198051D5" w14:textId="77777777" w:rsidR="00BC734F" w:rsidRPr="00BC734F" w:rsidRDefault="00BC734F" w:rsidP="009435ED">
      <w:pPr>
        <w:pStyle w:val="ListParagraph"/>
        <w:numPr>
          <w:ilvl w:val="0"/>
          <w:numId w:val="15"/>
        </w:numPr>
        <w:spacing w:before="0" w:after="0" w:line="276" w:lineRule="auto"/>
        <w:ind w:left="357" w:hanging="357"/>
        <w:rPr>
          <w:rFonts w:cstheme="majorHAnsi"/>
          <w:noProof/>
          <w:szCs w:val="22"/>
        </w:rPr>
      </w:pPr>
      <w:r w:rsidRPr="00BC734F">
        <w:rPr>
          <w:rFonts w:cstheme="majorHAnsi"/>
          <w:noProof/>
          <w:szCs w:val="22"/>
        </w:rPr>
        <w:t xml:space="preserve">To complain about other staff or students, email </w:t>
      </w:r>
      <w:hyperlink r:id="rId10" w:history="1">
        <w:r w:rsidRPr="00BC734F">
          <w:rPr>
            <w:rStyle w:val="Hyperlink"/>
            <w:rFonts w:cstheme="majorHAnsi"/>
            <w:noProof/>
            <w:sz w:val="22"/>
            <w:szCs w:val="22"/>
          </w:rPr>
          <w:t>complaints@cdu.edu.au</w:t>
        </w:r>
      </w:hyperlink>
    </w:p>
    <w:p w14:paraId="6AD0088E" w14:textId="77777777" w:rsidR="00BC734F" w:rsidRPr="00BC734F" w:rsidRDefault="00BC734F" w:rsidP="009435ED">
      <w:pPr>
        <w:pStyle w:val="ListParagraph"/>
        <w:numPr>
          <w:ilvl w:val="0"/>
          <w:numId w:val="15"/>
        </w:numPr>
        <w:spacing w:before="0" w:after="0" w:line="276" w:lineRule="auto"/>
        <w:ind w:left="357" w:hanging="357"/>
        <w:rPr>
          <w:rFonts w:cstheme="majorHAnsi"/>
          <w:noProof/>
          <w:szCs w:val="22"/>
        </w:rPr>
      </w:pPr>
      <w:r w:rsidRPr="00BC734F">
        <w:rPr>
          <w:rFonts w:cstheme="majorHAnsi"/>
          <w:noProof/>
          <w:szCs w:val="22"/>
        </w:rPr>
        <w:t xml:space="preserve">To seek the support of an advocate, email </w:t>
      </w:r>
      <w:hyperlink r:id="rId11" w:history="1">
        <w:r w:rsidRPr="00BC734F">
          <w:rPr>
            <w:rStyle w:val="Hyperlink"/>
            <w:rFonts w:cstheme="majorHAnsi"/>
            <w:noProof/>
            <w:sz w:val="22"/>
            <w:szCs w:val="22"/>
          </w:rPr>
          <w:t>advocacy@cdu.edu.au</w:t>
        </w:r>
      </w:hyperlink>
    </w:p>
    <w:p w14:paraId="49E527EC" w14:textId="77777777" w:rsidR="00BC734F" w:rsidRPr="00BC734F" w:rsidRDefault="00BC734F" w:rsidP="009435ED">
      <w:pPr>
        <w:pStyle w:val="ListParagraph"/>
        <w:numPr>
          <w:ilvl w:val="0"/>
          <w:numId w:val="15"/>
        </w:numPr>
        <w:spacing w:before="0" w:after="0" w:line="276" w:lineRule="auto"/>
        <w:ind w:left="357" w:hanging="357"/>
        <w:rPr>
          <w:rFonts w:cstheme="majorHAnsi"/>
          <w:noProof/>
          <w:szCs w:val="22"/>
        </w:rPr>
      </w:pPr>
      <w:r w:rsidRPr="00BC734F">
        <w:rPr>
          <w:rFonts w:cstheme="majorHAnsi"/>
          <w:noProof/>
          <w:szCs w:val="22"/>
        </w:rPr>
        <w:t xml:space="preserve"> For counselling, contact CDU Counselling Service on 8946 6288 or </w:t>
      </w:r>
      <w:hyperlink r:id="rId12" w:history="1">
        <w:r w:rsidRPr="00BC734F">
          <w:rPr>
            <w:rStyle w:val="Hyperlink"/>
            <w:rFonts w:cstheme="majorHAnsi"/>
            <w:noProof/>
            <w:sz w:val="22"/>
            <w:szCs w:val="22"/>
          </w:rPr>
          <w:t>counselling@cdu.edu.au</w:t>
        </w:r>
      </w:hyperlink>
    </w:p>
    <w:p w14:paraId="773957C8" w14:textId="77777777" w:rsidR="00BC734F" w:rsidRPr="00BC734F" w:rsidRDefault="00BC734F" w:rsidP="009435ED">
      <w:pPr>
        <w:pStyle w:val="ListParagraph"/>
        <w:numPr>
          <w:ilvl w:val="0"/>
          <w:numId w:val="15"/>
        </w:numPr>
        <w:spacing w:before="0" w:after="0" w:line="276" w:lineRule="auto"/>
        <w:ind w:left="357" w:hanging="357"/>
        <w:rPr>
          <w:rFonts w:cstheme="majorHAnsi"/>
          <w:noProof/>
          <w:szCs w:val="22"/>
        </w:rPr>
      </w:pPr>
      <w:r w:rsidRPr="00BC734F">
        <w:rPr>
          <w:rFonts w:cstheme="majorHAnsi"/>
          <w:noProof/>
          <w:szCs w:val="22"/>
        </w:rPr>
        <w:t xml:space="preserve">If after hours support is needed, contact CDU After Hours Telephone Crisis Support: 1300 933 393 </w:t>
      </w:r>
    </w:p>
    <w:p w14:paraId="6DE985B2" w14:textId="77777777" w:rsidR="00BC734F" w:rsidRPr="00BC734F" w:rsidRDefault="00BC734F" w:rsidP="009435ED">
      <w:pPr>
        <w:spacing w:line="276" w:lineRule="auto"/>
        <w:rPr>
          <w:rFonts w:cstheme="majorHAnsi"/>
          <w:noProof/>
          <w:szCs w:val="22"/>
        </w:rPr>
      </w:pPr>
    </w:p>
    <w:p w14:paraId="32BAE930" w14:textId="35F7D875" w:rsidR="00BC734F" w:rsidRPr="00BC734F" w:rsidRDefault="00BC734F" w:rsidP="009435ED">
      <w:pPr>
        <w:spacing w:line="276" w:lineRule="auto"/>
        <w:rPr>
          <w:rFonts w:cstheme="majorHAnsi"/>
          <w:noProof/>
          <w:szCs w:val="22"/>
        </w:rPr>
      </w:pPr>
      <w:r w:rsidRPr="00BC734F">
        <w:rPr>
          <w:rFonts w:cstheme="majorHAnsi"/>
          <w:noProof/>
          <w:szCs w:val="22"/>
        </w:rPr>
        <w:t xml:space="preserve">The National Support Line—1800 572 224—is also available until November 30.  Furthermore, in the future, CDU will train contact officers.  These individuals are the first people to contact if you experience issues around harassment, discrimination, violence, bullying, or conflict.  </w:t>
      </w:r>
    </w:p>
    <w:p w14:paraId="4790A317" w14:textId="77777777" w:rsidR="00BC734F" w:rsidRPr="00BC734F" w:rsidRDefault="00BC734F" w:rsidP="009435ED">
      <w:pPr>
        <w:spacing w:line="276" w:lineRule="auto"/>
        <w:rPr>
          <w:rFonts w:cstheme="majorHAnsi"/>
          <w:noProof/>
          <w:szCs w:val="22"/>
        </w:rPr>
      </w:pPr>
    </w:p>
    <w:p w14:paraId="12CD7C3B" w14:textId="3D454BB9" w:rsidR="00BC734F" w:rsidRDefault="00BC734F" w:rsidP="009435ED">
      <w:pPr>
        <w:pBdr>
          <w:bottom w:val="single" w:sz="12" w:space="1" w:color="auto"/>
        </w:pBdr>
        <w:spacing w:line="276" w:lineRule="auto"/>
        <w:rPr>
          <w:rFonts w:cstheme="majorHAnsi"/>
          <w:noProof/>
          <w:color w:val="808080" w:themeColor="background1" w:themeShade="80"/>
          <w:szCs w:val="22"/>
        </w:rPr>
      </w:pPr>
    </w:p>
    <w:p w14:paraId="2676C888" w14:textId="77777777" w:rsidR="009435ED" w:rsidRPr="00BC734F" w:rsidRDefault="009435ED" w:rsidP="009435ED">
      <w:pPr>
        <w:pBdr>
          <w:bottom w:val="single" w:sz="12" w:space="1" w:color="auto"/>
        </w:pBdr>
        <w:spacing w:line="276" w:lineRule="auto"/>
        <w:rPr>
          <w:rFonts w:cstheme="majorHAnsi"/>
          <w:noProof/>
          <w:color w:val="808080" w:themeColor="background1" w:themeShade="80"/>
          <w:szCs w:val="22"/>
        </w:rPr>
      </w:pPr>
    </w:p>
    <w:p w14:paraId="702392DC" w14:textId="77777777" w:rsidR="00BC734F" w:rsidRPr="00BC734F" w:rsidRDefault="00BC734F" w:rsidP="009435ED">
      <w:pPr>
        <w:spacing w:line="276" w:lineRule="auto"/>
        <w:rPr>
          <w:rFonts w:cstheme="majorHAnsi"/>
          <w:noProof/>
          <w:color w:val="808080" w:themeColor="background1" w:themeShade="80"/>
          <w:szCs w:val="22"/>
        </w:rPr>
      </w:pPr>
    </w:p>
    <w:p w14:paraId="1FC6014D" w14:textId="77777777" w:rsidR="00BC734F" w:rsidRPr="00BC734F" w:rsidRDefault="00BC734F" w:rsidP="009435ED">
      <w:pPr>
        <w:spacing w:line="276" w:lineRule="auto"/>
        <w:rPr>
          <w:rFonts w:cstheme="majorHAnsi"/>
          <w:noProof/>
          <w:color w:val="808080" w:themeColor="background1" w:themeShade="80"/>
          <w:szCs w:val="22"/>
        </w:rPr>
      </w:pPr>
      <w:r w:rsidRPr="00BC734F">
        <w:rPr>
          <w:rFonts w:cstheme="majorHAnsi"/>
          <w:noProof/>
          <w:color w:val="808080" w:themeColor="background1" w:themeShade="80"/>
          <w:szCs w:val="22"/>
        </w:rPr>
        <w:t xml:space="preserve">For more information about these services, you can watch </w:t>
      </w:r>
      <w:hyperlink r:id="rId13" w:history="1">
        <w:r w:rsidRPr="00BC734F">
          <w:rPr>
            <w:rStyle w:val="Hyperlink"/>
            <w:rFonts w:cstheme="majorHAnsi"/>
            <w:noProof/>
            <w:color w:val="F5D790" w:themeColor="text2" w:themeTint="99"/>
            <w:sz w:val="22"/>
            <w:szCs w:val="22"/>
          </w:rPr>
          <w:t>https://digmedia.cdu.edu.au/ssdcms/ipublic.do?u=775ac0f0cd46494</w:t>
        </w:r>
      </w:hyperlink>
      <w:r w:rsidRPr="00BC734F">
        <w:rPr>
          <w:rFonts w:cstheme="majorHAnsi"/>
          <w:noProof/>
          <w:color w:val="F5D790" w:themeColor="text2" w:themeTint="99"/>
          <w:szCs w:val="22"/>
        </w:rPr>
        <w:t xml:space="preserve"> </w:t>
      </w:r>
      <w:r w:rsidRPr="00BC734F">
        <w:rPr>
          <w:rFonts w:cstheme="majorHAnsi"/>
          <w:noProof/>
          <w:color w:val="808080" w:themeColor="background1" w:themeShade="80"/>
          <w:szCs w:val="22"/>
        </w:rPr>
        <w:t>especially between 9.14 to 9.55, 22.05 to 25.20, 32.40 to 37.00, 37.43 to 41.05.</w:t>
      </w:r>
    </w:p>
    <w:p w14:paraId="13201225" w14:textId="0037CC30" w:rsidR="00BC734F" w:rsidRDefault="00BC734F" w:rsidP="009435ED">
      <w:pPr>
        <w:spacing w:line="276" w:lineRule="auto"/>
        <w:rPr>
          <w:rFonts w:cstheme="majorHAnsi"/>
          <w:lang w:val="en-AU"/>
        </w:rPr>
      </w:pPr>
    </w:p>
    <w:p w14:paraId="77A0EC15" w14:textId="738DC6A2" w:rsidR="009435ED" w:rsidRDefault="009435ED" w:rsidP="009435ED">
      <w:pPr>
        <w:spacing w:line="276" w:lineRule="auto"/>
        <w:rPr>
          <w:rFonts w:cstheme="majorHAnsi"/>
          <w:lang w:val="en-AU"/>
        </w:rPr>
      </w:pPr>
    </w:p>
    <w:p w14:paraId="210A1762" w14:textId="77777777" w:rsidR="009435ED" w:rsidRPr="00BC734F" w:rsidRDefault="009435ED" w:rsidP="009435ED">
      <w:pPr>
        <w:spacing w:line="276" w:lineRule="auto"/>
        <w:rPr>
          <w:rFonts w:cstheme="majorHAnsi"/>
          <w:lang w:val="en-AU"/>
        </w:rPr>
      </w:pPr>
    </w:p>
    <w:p w14:paraId="47BE770C" w14:textId="2091E022" w:rsidR="00BC734F" w:rsidRPr="00BC734F" w:rsidRDefault="00BC734F" w:rsidP="009435ED">
      <w:pPr>
        <w:pStyle w:val="Heading2"/>
        <w:spacing w:line="276" w:lineRule="auto"/>
        <w:rPr>
          <w:rFonts w:asciiTheme="majorHAnsi" w:hAnsiTheme="majorHAnsi" w:cstheme="majorHAnsi"/>
          <w:noProof/>
        </w:rPr>
      </w:pPr>
      <w:r w:rsidRPr="00BC734F">
        <w:rPr>
          <w:rFonts w:asciiTheme="majorHAnsi" w:hAnsiTheme="majorHAnsi" w:cstheme="majorHAnsi"/>
          <w:noProof/>
        </w:rPr>
        <w:t>Appendix: Key actions in the university</w:t>
      </w:r>
    </w:p>
    <w:p w14:paraId="1750436F" w14:textId="7D37ACF2" w:rsidR="00BC734F" w:rsidRPr="00BC734F" w:rsidRDefault="00BC734F" w:rsidP="009435ED">
      <w:pPr>
        <w:spacing w:line="276" w:lineRule="auto"/>
        <w:rPr>
          <w:rFonts w:cstheme="majorHAnsi"/>
          <w:lang w:val="en-AU"/>
        </w:rPr>
      </w:pPr>
    </w:p>
    <w:p w14:paraId="07CBC2EE" w14:textId="77777777" w:rsidR="00BC734F" w:rsidRPr="00BC734F" w:rsidRDefault="00BC734F" w:rsidP="009435ED">
      <w:pPr>
        <w:spacing w:line="276" w:lineRule="auto"/>
        <w:rPr>
          <w:rFonts w:cstheme="majorHAnsi"/>
          <w:noProof/>
          <w:szCs w:val="22"/>
        </w:rPr>
      </w:pPr>
      <w:r w:rsidRPr="00BC734F">
        <w:rPr>
          <w:rFonts w:cstheme="majorHAnsi"/>
          <w:noProof/>
          <w:szCs w:val="22"/>
        </w:rPr>
        <w:t xml:space="preserve">As a consequence of Respect Now Always, all universities have agreed to 10 key actions.  This table summarises these actions.   </w:t>
      </w:r>
    </w:p>
    <w:p w14:paraId="2F01C97A" w14:textId="77777777" w:rsidR="00BC734F" w:rsidRPr="00BC734F" w:rsidRDefault="00BC734F" w:rsidP="009435ED">
      <w:pPr>
        <w:spacing w:line="276" w:lineRule="auto"/>
        <w:rPr>
          <w:rFonts w:cstheme="majorHAnsi"/>
          <w:noProof/>
          <w:szCs w:val="22"/>
        </w:rPr>
      </w:pPr>
    </w:p>
    <w:p w14:paraId="729B1CD1" w14:textId="77777777" w:rsidR="00BC734F" w:rsidRPr="00BC734F" w:rsidRDefault="00BC734F" w:rsidP="009435ED">
      <w:pPr>
        <w:spacing w:line="276" w:lineRule="auto"/>
        <w:rPr>
          <w:rFonts w:cstheme="majorHAnsi"/>
          <w:noProof/>
          <w:szCs w:val="22"/>
        </w:rPr>
      </w:pPr>
    </w:p>
    <w:tbl>
      <w:tblPr>
        <w:tblStyle w:val="TableGrid"/>
        <w:tblW w:w="838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382"/>
      </w:tblGrid>
      <w:tr w:rsidR="00BC734F" w:rsidRPr="00BC734F" w14:paraId="70317C27" w14:textId="77777777" w:rsidTr="00BC734F">
        <w:tc>
          <w:tcPr>
            <w:tcW w:w="8382" w:type="dxa"/>
            <w:shd w:val="clear" w:color="auto" w:fill="C6EBD6" w:themeFill="accent5" w:themeFillTint="66"/>
          </w:tcPr>
          <w:p w14:paraId="43AD736A" w14:textId="77777777" w:rsidR="00BC734F" w:rsidRPr="00BC734F" w:rsidRDefault="00BC734F" w:rsidP="009435ED">
            <w:pPr>
              <w:spacing w:line="276" w:lineRule="auto"/>
              <w:jc w:val="center"/>
              <w:rPr>
                <w:rFonts w:cstheme="majorHAnsi"/>
                <w:b/>
                <w:noProof/>
              </w:rPr>
            </w:pPr>
            <w:r w:rsidRPr="00BC734F">
              <w:rPr>
                <w:rFonts w:cstheme="majorHAnsi"/>
                <w:b/>
                <w:noProof/>
              </w:rPr>
              <w:t>10 key actions</w:t>
            </w:r>
          </w:p>
        </w:tc>
      </w:tr>
      <w:tr w:rsidR="00BC734F" w:rsidRPr="00BC734F" w14:paraId="5CACAD66" w14:textId="77777777" w:rsidTr="00BC734F">
        <w:trPr>
          <w:trHeight w:val="342"/>
        </w:trPr>
        <w:tc>
          <w:tcPr>
            <w:tcW w:w="8382" w:type="dxa"/>
            <w:shd w:val="clear" w:color="auto" w:fill="D9D9D9" w:themeFill="background1" w:themeFillShade="D9"/>
          </w:tcPr>
          <w:p w14:paraId="3574CB6C" w14:textId="77777777" w:rsidR="00BC734F" w:rsidRPr="00BC734F" w:rsidRDefault="00BC734F" w:rsidP="009435ED">
            <w:pPr>
              <w:spacing w:line="276" w:lineRule="auto"/>
              <w:rPr>
                <w:rFonts w:cstheme="majorHAnsi"/>
              </w:rPr>
            </w:pPr>
            <w:r w:rsidRPr="00BC734F">
              <w:rPr>
                <w:rFonts w:cstheme="majorHAnsi"/>
                <w:b/>
                <w:noProof/>
              </w:rPr>
              <w:t>Education programs</w:t>
            </w:r>
            <w:r w:rsidRPr="00BC734F">
              <w:rPr>
                <w:rFonts w:cstheme="majorHAnsi"/>
                <w:noProof/>
              </w:rPr>
              <w:t xml:space="preserve">.  These programs utilize the latest evidence to help students develop respectful relationships—relationships that prevent sexual harassment or sexual assault.  </w:t>
            </w:r>
          </w:p>
        </w:tc>
      </w:tr>
      <w:tr w:rsidR="00BC734F" w:rsidRPr="00BC734F" w14:paraId="747569B6" w14:textId="77777777" w:rsidTr="00BC734F">
        <w:trPr>
          <w:trHeight w:val="383"/>
        </w:trPr>
        <w:tc>
          <w:tcPr>
            <w:tcW w:w="8382" w:type="dxa"/>
            <w:shd w:val="clear" w:color="auto" w:fill="D9D9D9" w:themeFill="background1" w:themeFillShade="D9"/>
          </w:tcPr>
          <w:p w14:paraId="6785009D" w14:textId="77777777" w:rsidR="00BC734F" w:rsidRPr="00BC734F" w:rsidRDefault="00BC734F" w:rsidP="009435ED">
            <w:pPr>
              <w:spacing w:line="276" w:lineRule="auto"/>
              <w:rPr>
                <w:rFonts w:cstheme="majorHAnsi"/>
              </w:rPr>
            </w:pPr>
            <w:r w:rsidRPr="00BC734F">
              <w:rPr>
                <w:rFonts w:cstheme="majorHAnsi"/>
                <w:b/>
              </w:rPr>
              <w:t>Recommit to the campaign</w:t>
            </w:r>
            <w:r w:rsidRPr="00BC734F">
              <w:rPr>
                <w:rFonts w:cstheme="majorHAnsi"/>
                <w:noProof/>
              </w:rPr>
              <w:t xml:space="preserve">.  Universities will commit again to Respect. Now. Always.  They will, for example, enhance the visibilty of this issue and support services as well as disseminate campaign materials an orientation weeks.  </w:t>
            </w:r>
          </w:p>
        </w:tc>
      </w:tr>
      <w:tr w:rsidR="00BC734F" w:rsidRPr="00BC734F" w14:paraId="6A17CBD8" w14:textId="77777777" w:rsidTr="00BC734F">
        <w:trPr>
          <w:trHeight w:val="383"/>
        </w:trPr>
        <w:tc>
          <w:tcPr>
            <w:tcW w:w="8382" w:type="dxa"/>
            <w:shd w:val="clear" w:color="auto" w:fill="D9D9D9" w:themeFill="background1" w:themeFillShade="D9"/>
          </w:tcPr>
          <w:p w14:paraId="576573C9" w14:textId="77777777" w:rsidR="00BC734F" w:rsidRPr="00BC734F" w:rsidRDefault="00BC734F" w:rsidP="009435ED">
            <w:pPr>
              <w:spacing w:line="276" w:lineRule="auto"/>
              <w:rPr>
                <w:rFonts w:cstheme="majorHAnsi"/>
              </w:rPr>
            </w:pPr>
            <w:r w:rsidRPr="00BC734F">
              <w:rPr>
                <w:rFonts w:cstheme="majorHAnsi"/>
                <w:b/>
              </w:rPr>
              <w:t>Supervision guidelines</w:t>
            </w:r>
            <w:r w:rsidRPr="00BC734F">
              <w:rPr>
                <w:rFonts w:cstheme="majorHAnsi"/>
              </w:rPr>
              <w:t>.  Several associations will, together, develop guidelines to guide the interactions between research supervisors and postgraduate students</w:t>
            </w:r>
          </w:p>
        </w:tc>
      </w:tr>
      <w:tr w:rsidR="00BC734F" w:rsidRPr="00BC734F" w14:paraId="0845CB1E" w14:textId="77777777" w:rsidTr="00BC734F">
        <w:trPr>
          <w:trHeight w:val="383"/>
        </w:trPr>
        <w:tc>
          <w:tcPr>
            <w:tcW w:w="8382" w:type="dxa"/>
            <w:shd w:val="clear" w:color="auto" w:fill="D9D9D9" w:themeFill="background1" w:themeFillShade="D9"/>
          </w:tcPr>
          <w:p w14:paraId="2DF417E7" w14:textId="77777777" w:rsidR="00BC734F" w:rsidRPr="00BC734F" w:rsidRDefault="00BC734F" w:rsidP="009435ED">
            <w:pPr>
              <w:spacing w:line="276" w:lineRule="auto"/>
              <w:rPr>
                <w:rFonts w:cstheme="majorHAnsi"/>
              </w:rPr>
            </w:pPr>
            <w:r w:rsidRPr="00BC734F">
              <w:rPr>
                <w:rFonts w:cstheme="majorHAnsi"/>
                <w:b/>
              </w:rPr>
              <w:t>Training for university staff</w:t>
            </w:r>
            <w:r w:rsidRPr="00BC734F">
              <w:rPr>
                <w:rFonts w:cstheme="majorHAnsi"/>
              </w:rPr>
              <w:t xml:space="preserve">.  All staff, including executives, will receive training on these issues—such as awareness of unacceptable behaviors and responses to sexual harassment.  </w:t>
            </w:r>
          </w:p>
        </w:tc>
      </w:tr>
      <w:tr w:rsidR="00BC734F" w:rsidRPr="00BC734F" w14:paraId="79F01058" w14:textId="77777777" w:rsidTr="00BC734F">
        <w:trPr>
          <w:trHeight w:val="383"/>
        </w:trPr>
        <w:tc>
          <w:tcPr>
            <w:tcW w:w="8382" w:type="dxa"/>
            <w:shd w:val="clear" w:color="auto" w:fill="D9D9D9" w:themeFill="background1" w:themeFillShade="D9"/>
          </w:tcPr>
          <w:p w14:paraId="788DFB56" w14:textId="77777777" w:rsidR="00BC734F" w:rsidRPr="00BC734F" w:rsidRDefault="00BC734F" w:rsidP="009435ED">
            <w:pPr>
              <w:spacing w:line="276" w:lineRule="auto"/>
              <w:rPr>
                <w:rFonts w:cstheme="majorHAnsi"/>
              </w:rPr>
            </w:pPr>
            <w:r w:rsidRPr="00BC734F">
              <w:rPr>
                <w:rFonts w:cstheme="majorHAnsi"/>
                <w:b/>
              </w:rPr>
              <w:lastRenderedPageBreak/>
              <w:t>First responder training</w:t>
            </w:r>
            <w:r w:rsidRPr="00BC734F">
              <w:rPr>
                <w:rFonts w:cstheme="majorHAnsi"/>
              </w:rPr>
              <w:t xml:space="preserve">.  The training will equip specific individuals on how to respond effectively and compassionately to disclosures of sexual assault and sexual harassment.  </w:t>
            </w:r>
          </w:p>
        </w:tc>
      </w:tr>
      <w:tr w:rsidR="00BC734F" w:rsidRPr="00BC734F" w14:paraId="3E4E7D64" w14:textId="77777777" w:rsidTr="00BC734F">
        <w:trPr>
          <w:trHeight w:val="383"/>
        </w:trPr>
        <w:tc>
          <w:tcPr>
            <w:tcW w:w="8382" w:type="dxa"/>
            <w:shd w:val="clear" w:color="auto" w:fill="D9D9D9" w:themeFill="background1" w:themeFillShade="D9"/>
          </w:tcPr>
          <w:p w14:paraId="09AFF4C9" w14:textId="77777777" w:rsidR="00BC734F" w:rsidRPr="00BC734F" w:rsidRDefault="00BC734F" w:rsidP="009435ED">
            <w:pPr>
              <w:spacing w:line="276" w:lineRule="auto"/>
              <w:rPr>
                <w:rFonts w:cstheme="majorHAnsi"/>
              </w:rPr>
            </w:pPr>
            <w:r w:rsidRPr="00BC734F">
              <w:rPr>
                <w:rFonts w:cstheme="majorHAnsi"/>
                <w:b/>
              </w:rPr>
              <w:t>Training for university counselors</w:t>
            </w:r>
            <w:r w:rsidRPr="00BC734F">
              <w:rPr>
                <w:rFonts w:cstheme="majorHAnsi"/>
              </w:rPr>
              <w:t>.  Mental health specialists at the university will receive training on how to offer support to individuals who disclose sexual assault or sexual harassment</w:t>
            </w:r>
          </w:p>
        </w:tc>
      </w:tr>
      <w:tr w:rsidR="00BC734F" w:rsidRPr="00BC734F" w14:paraId="33FA6788" w14:textId="77777777" w:rsidTr="00BC734F">
        <w:trPr>
          <w:trHeight w:val="342"/>
        </w:trPr>
        <w:tc>
          <w:tcPr>
            <w:tcW w:w="8382" w:type="dxa"/>
            <w:shd w:val="clear" w:color="auto" w:fill="D9D9D9" w:themeFill="background1" w:themeFillShade="D9"/>
          </w:tcPr>
          <w:p w14:paraId="642D2BE9" w14:textId="77777777" w:rsidR="00BC734F" w:rsidRPr="00BC734F" w:rsidRDefault="00BC734F" w:rsidP="009435ED">
            <w:pPr>
              <w:spacing w:line="276" w:lineRule="auto"/>
              <w:rPr>
                <w:rFonts w:cstheme="majorHAnsi"/>
              </w:rPr>
            </w:pPr>
            <w:r w:rsidRPr="00BC734F">
              <w:rPr>
                <w:rFonts w:cstheme="majorHAnsi"/>
                <w:b/>
                <w:noProof/>
              </w:rPr>
              <w:t>Best practice guidelines</w:t>
            </w:r>
            <w:r w:rsidRPr="00BC734F">
              <w:rPr>
                <w:rFonts w:cstheme="majorHAnsi"/>
                <w:noProof/>
              </w:rPr>
              <w:t xml:space="preserve">.  Universities Australia will develop a set of guidelines on how universities should respond to reports of sexual </w:t>
            </w:r>
            <w:r w:rsidRPr="00BC734F">
              <w:rPr>
                <w:rFonts w:cstheme="majorHAnsi"/>
              </w:rPr>
              <w:t>assault or sexual harassment</w:t>
            </w:r>
          </w:p>
        </w:tc>
      </w:tr>
      <w:tr w:rsidR="00BC734F" w:rsidRPr="00BC734F" w14:paraId="693D8B54" w14:textId="77777777" w:rsidTr="00BC734F">
        <w:trPr>
          <w:trHeight w:val="374"/>
        </w:trPr>
        <w:tc>
          <w:tcPr>
            <w:tcW w:w="8382" w:type="dxa"/>
            <w:shd w:val="clear" w:color="auto" w:fill="D9D9D9" w:themeFill="background1" w:themeFillShade="D9"/>
          </w:tcPr>
          <w:p w14:paraId="286296BD" w14:textId="77777777" w:rsidR="00BC734F" w:rsidRPr="00BC734F" w:rsidRDefault="00BC734F" w:rsidP="009435ED">
            <w:pPr>
              <w:spacing w:line="276" w:lineRule="auto"/>
              <w:rPr>
                <w:rFonts w:cstheme="majorHAnsi"/>
              </w:rPr>
            </w:pPr>
            <w:r w:rsidRPr="00BC734F">
              <w:rPr>
                <w:rFonts w:cstheme="majorHAnsi"/>
                <w:b/>
              </w:rPr>
              <w:t>Support line</w:t>
            </w:r>
            <w:r w:rsidRPr="00BC734F">
              <w:rPr>
                <w:rFonts w:cstheme="majorHAnsi"/>
                <w:noProof/>
              </w:rPr>
              <w:t>: Universities Australia will establish an interim national telephone referral and support service.  In the interim, Rape and Domestic Violence Services Australia will operate this service</w:t>
            </w:r>
          </w:p>
        </w:tc>
      </w:tr>
      <w:tr w:rsidR="00BC734F" w:rsidRPr="00BC734F" w14:paraId="0133D8DD" w14:textId="77777777" w:rsidTr="00BC734F">
        <w:trPr>
          <w:trHeight w:val="374"/>
        </w:trPr>
        <w:tc>
          <w:tcPr>
            <w:tcW w:w="8382" w:type="dxa"/>
            <w:shd w:val="clear" w:color="auto" w:fill="D9D9D9" w:themeFill="background1" w:themeFillShade="D9"/>
          </w:tcPr>
          <w:p w14:paraId="7916F7F8" w14:textId="77777777" w:rsidR="00BC734F" w:rsidRPr="00BC734F" w:rsidRDefault="00BC734F" w:rsidP="009435ED">
            <w:pPr>
              <w:spacing w:line="276" w:lineRule="auto"/>
              <w:rPr>
                <w:rFonts w:cstheme="majorHAnsi"/>
              </w:rPr>
            </w:pPr>
            <w:r w:rsidRPr="00BC734F">
              <w:rPr>
                <w:rFonts w:cstheme="majorHAnsi"/>
                <w:b/>
              </w:rPr>
              <w:t>Subsequent surveys</w:t>
            </w:r>
            <w:r w:rsidRPr="00BC734F">
              <w:rPr>
                <w:rFonts w:cstheme="majorHAnsi"/>
              </w:rPr>
              <w:t xml:space="preserve">: Another survey will be administered in three years. </w:t>
            </w:r>
          </w:p>
        </w:tc>
      </w:tr>
      <w:tr w:rsidR="00BC734F" w:rsidRPr="00BC734F" w14:paraId="25EAE792" w14:textId="77777777" w:rsidTr="00BC734F">
        <w:trPr>
          <w:trHeight w:val="374"/>
        </w:trPr>
        <w:tc>
          <w:tcPr>
            <w:tcW w:w="8382" w:type="dxa"/>
            <w:shd w:val="clear" w:color="auto" w:fill="D9D9D9" w:themeFill="background1" w:themeFillShade="D9"/>
          </w:tcPr>
          <w:p w14:paraId="3D133BD3" w14:textId="77777777" w:rsidR="00BC734F" w:rsidRPr="00BC734F" w:rsidRDefault="00BC734F" w:rsidP="009435ED">
            <w:pPr>
              <w:spacing w:line="276" w:lineRule="auto"/>
              <w:rPr>
                <w:rFonts w:cstheme="majorHAnsi"/>
              </w:rPr>
            </w:pPr>
            <w:r w:rsidRPr="00BC734F">
              <w:rPr>
                <w:rFonts w:cstheme="majorHAnsi"/>
                <w:b/>
              </w:rPr>
              <w:t>Education in college and residential halls</w:t>
            </w:r>
            <w:r w:rsidRPr="00BC734F">
              <w:rPr>
                <w:rFonts w:cstheme="majorHAnsi"/>
              </w:rPr>
              <w:t>: Training and resources will also be directed to college and residential halls</w:t>
            </w:r>
          </w:p>
        </w:tc>
      </w:tr>
    </w:tbl>
    <w:p w14:paraId="3FC289C8" w14:textId="77777777" w:rsidR="00BC734F" w:rsidRPr="00BC734F" w:rsidRDefault="00BC734F" w:rsidP="009435ED">
      <w:pPr>
        <w:spacing w:line="276" w:lineRule="auto"/>
        <w:ind w:left="1985"/>
        <w:rPr>
          <w:rFonts w:cstheme="majorHAnsi"/>
          <w:noProof/>
          <w:sz w:val="20"/>
          <w:szCs w:val="20"/>
        </w:rPr>
      </w:pPr>
    </w:p>
    <w:p w14:paraId="252C8AE9" w14:textId="77777777" w:rsidR="00BC734F" w:rsidRPr="00BC734F" w:rsidRDefault="00BC734F" w:rsidP="009435ED">
      <w:pPr>
        <w:spacing w:line="276" w:lineRule="auto"/>
        <w:ind w:left="1985"/>
        <w:rPr>
          <w:rFonts w:cstheme="majorHAnsi"/>
          <w:noProof/>
          <w:sz w:val="20"/>
          <w:szCs w:val="20"/>
        </w:rPr>
      </w:pPr>
    </w:p>
    <w:p w14:paraId="38D9CA89" w14:textId="77777777" w:rsidR="00BC734F" w:rsidRPr="00BC734F" w:rsidRDefault="00BC734F" w:rsidP="009435ED">
      <w:pPr>
        <w:spacing w:line="276" w:lineRule="auto"/>
        <w:ind w:left="1985"/>
        <w:rPr>
          <w:rFonts w:cstheme="majorHAnsi"/>
          <w:noProof/>
          <w:sz w:val="20"/>
          <w:szCs w:val="20"/>
        </w:rPr>
      </w:pPr>
      <w:r w:rsidRPr="00BC734F">
        <w:rPr>
          <w:rFonts w:cstheme="majorHAnsi"/>
          <w:noProof/>
          <w:sz w:val="20"/>
          <w:szCs w:val="20"/>
        </w:rPr>
        <w:t xml:space="preserve">  </w:t>
      </w:r>
    </w:p>
    <w:p w14:paraId="5BF2C5E2" w14:textId="568001A4" w:rsidR="00BC734F" w:rsidRPr="00BC734F" w:rsidRDefault="00BC734F" w:rsidP="009435ED">
      <w:pPr>
        <w:spacing w:line="276" w:lineRule="auto"/>
        <w:rPr>
          <w:lang w:val="en-AU"/>
        </w:rPr>
      </w:pPr>
    </w:p>
    <w:sectPr w:rsidR="00BC734F" w:rsidRPr="00BC734F" w:rsidSect="005564DE">
      <w:headerReference w:type="even" r:id="rId14"/>
      <w:headerReference w:type="default" r:id="rId15"/>
      <w:footerReference w:type="default" r:id="rId16"/>
      <w:headerReference w:type="first" r:id="rId17"/>
      <w:footerReference w:type="first" r:id="rId18"/>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734F1" w14:textId="77777777" w:rsidR="00165B0A" w:rsidRDefault="00165B0A" w:rsidP="00452E05">
      <w:r>
        <w:separator/>
      </w:r>
    </w:p>
  </w:endnote>
  <w:endnote w:type="continuationSeparator" w:id="0">
    <w:p w14:paraId="24F44D7C" w14:textId="77777777" w:rsidR="00165B0A" w:rsidRDefault="00165B0A"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1B4B1" w14:textId="77777777" w:rsidR="00165B0A" w:rsidRDefault="00165B0A" w:rsidP="00452E05">
      <w:r>
        <w:separator/>
      </w:r>
    </w:p>
  </w:footnote>
  <w:footnote w:type="continuationSeparator" w:id="0">
    <w:p w14:paraId="608C120B" w14:textId="77777777" w:rsidR="00165B0A" w:rsidRDefault="00165B0A"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165B0A">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B27592"/>
    <w:multiLevelType w:val="hybridMultilevel"/>
    <w:tmpl w:val="60D09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5C7F72"/>
    <w:multiLevelType w:val="hybridMultilevel"/>
    <w:tmpl w:val="37725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A06211"/>
    <w:multiLevelType w:val="hybridMultilevel"/>
    <w:tmpl w:val="9E64E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B84540"/>
    <w:multiLevelType w:val="hybridMultilevel"/>
    <w:tmpl w:val="B2C495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4AB70D89"/>
    <w:multiLevelType w:val="hybridMultilevel"/>
    <w:tmpl w:val="CF9ABC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4F717483"/>
    <w:multiLevelType w:val="hybridMultilevel"/>
    <w:tmpl w:val="45E02FAA"/>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7" w15:restartNumberingAfterBreak="0">
    <w:nsid w:val="4FCB58D8"/>
    <w:multiLevelType w:val="hybridMultilevel"/>
    <w:tmpl w:val="C632DE9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5B546BB3"/>
    <w:multiLevelType w:val="hybridMultilevel"/>
    <w:tmpl w:val="F864A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A37538"/>
    <w:multiLevelType w:val="hybridMultilevel"/>
    <w:tmpl w:val="7D7C9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EA45755"/>
    <w:multiLevelType w:val="hybridMultilevel"/>
    <w:tmpl w:val="6B74C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65C6BD4"/>
    <w:multiLevelType w:val="hybridMultilevel"/>
    <w:tmpl w:val="458A0DFE"/>
    <w:lvl w:ilvl="0" w:tplc="04090001">
      <w:start w:val="1"/>
      <w:numFmt w:val="bullet"/>
      <w:lvlText w:val=""/>
      <w:lvlJc w:val="left"/>
      <w:pPr>
        <w:ind w:left="2345"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096495"/>
    <w:multiLevelType w:val="hybridMultilevel"/>
    <w:tmpl w:val="C7500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FB1206"/>
    <w:multiLevelType w:val="hybridMultilevel"/>
    <w:tmpl w:val="808AA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CD72527"/>
    <w:multiLevelType w:val="hybridMultilevel"/>
    <w:tmpl w:val="077ED95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num w:numId="1">
    <w:abstractNumId w:val="0"/>
  </w:num>
  <w:num w:numId="2">
    <w:abstractNumId w:val="2"/>
  </w:num>
  <w:num w:numId="3">
    <w:abstractNumId w:val="3"/>
  </w:num>
  <w:num w:numId="4">
    <w:abstractNumId w:val="8"/>
  </w:num>
  <w:num w:numId="5">
    <w:abstractNumId w:val="9"/>
  </w:num>
  <w:num w:numId="6">
    <w:abstractNumId w:val="10"/>
  </w:num>
  <w:num w:numId="7">
    <w:abstractNumId w:val="4"/>
  </w:num>
  <w:num w:numId="8">
    <w:abstractNumId w:val="14"/>
  </w:num>
  <w:num w:numId="9">
    <w:abstractNumId w:val="6"/>
  </w:num>
  <w:num w:numId="10">
    <w:abstractNumId w:val="13"/>
  </w:num>
  <w:num w:numId="11">
    <w:abstractNumId w:val="12"/>
  </w:num>
  <w:num w:numId="12">
    <w:abstractNumId w:val="1"/>
  </w:num>
  <w:num w:numId="13">
    <w:abstractNumId w:val="5"/>
  </w:num>
  <w:num w:numId="14">
    <w:abstractNumId w:val="11"/>
  </w:num>
  <w:num w:numId="1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83219"/>
    <w:rsid w:val="00092B7C"/>
    <w:rsid w:val="00095708"/>
    <w:rsid w:val="000D6105"/>
    <w:rsid w:val="00127477"/>
    <w:rsid w:val="001565D4"/>
    <w:rsid w:val="00165B0A"/>
    <w:rsid w:val="001A66E3"/>
    <w:rsid w:val="001B5BCC"/>
    <w:rsid w:val="0022483A"/>
    <w:rsid w:val="00263F4A"/>
    <w:rsid w:val="0029790B"/>
    <w:rsid w:val="0033676E"/>
    <w:rsid w:val="00347E6A"/>
    <w:rsid w:val="0037485F"/>
    <w:rsid w:val="00384C2A"/>
    <w:rsid w:val="00397830"/>
    <w:rsid w:val="003E30BF"/>
    <w:rsid w:val="0041297D"/>
    <w:rsid w:val="004135F6"/>
    <w:rsid w:val="00432D57"/>
    <w:rsid w:val="00444794"/>
    <w:rsid w:val="00452E05"/>
    <w:rsid w:val="00476905"/>
    <w:rsid w:val="00494903"/>
    <w:rsid w:val="004A0B5F"/>
    <w:rsid w:val="004F37BB"/>
    <w:rsid w:val="005021EC"/>
    <w:rsid w:val="005364A9"/>
    <w:rsid w:val="005564DE"/>
    <w:rsid w:val="00560EE4"/>
    <w:rsid w:val="00596877"/>
    <w:rsid w:val="005B1C72"/>
    <w:rsid w:val="005B6F71"/>
    <w:rsid w:val="005C0733"/>
    <w:rsid w:val="005D71D1"/>
    <w:rsid w:val="005E6863"/>
    <w:rsid w:val="00605E2E"/>
    <w:rsid w:val="00630192"/>
    <w:rsid w:val="006410A6"/>
    <w:rsid w:val="006575DD"/>
    <w:rsid w:val="006A6FC6"/>
    <w:rsid w:val="006B54C5"/>
    <w:rsid w:val="00710665"/>
    <w:rsid w:val="00725256"/>
    <w:rsid w:val="00752E7B"/>
    <w:rsid w:val="007D0B7D"/>
    <w:rsid w:val="007D79B8"/>
    <w:rsid w:val="007E32A1"/>
    <w:rsid w:val="007E4752"/>
    <w:rsid w:val="00802D3E"/>
    <w:rsid w:val="0081211C"/>
    <w:rsid w:val="008326DE"/>
    <w:rsid w:val="00870603"/>
    <w:rsid w:val="008A66B6"/>
    <w:rsid w:val="008B2E83"/>
    <w:rsid w:val="008C382A"/>
    <w:rsid w:val="00924A6A"/>
    <w:rsid w:val="009435ED"/>
    <w:rsid w:val="009D673D"/>
    <w:rsid w:val="009F0315"/>
    <w:rsid w:val="009F4AD0"/>
    <w:rsid w:val="00A3382D"/>
    <w:rsid w:val="00A66683"/>
    <w:rsid w:val="00A72D40"/>
    <w:rsid w:val="00AC0C50"/>
    <w:rsid w:val="00AE153D"/>
    <w:rsid w:val="00B12FB3"/>
    <w:rsid w:val="00B658DB"/>
    <w:rsid w:val="00B9245E"/>
    <w:rsid w:val="00BC734F"/>
    <w:rsid w:val="00BD6F54"/>
    <w:rsid w:val="00BE0325"/>
    <w:rsid w:val="00C15EC5"/>
    <w:rsid w:val="00C62BC1"/>
    <w:rsid w:val="00D62050"/>
    <w:rsid w:val="00DA6CF7"/>
    <w:rsid w:val="00DB345F"/>
    <w:rsid w:val="00DF18F7"/>
    <w:rsid w:val="00DF43A1"/>
    <w:rsid w:val="00DF47F4"/>
    <w:rsid w:val="00E44A4D"/>
    <w:rsid w:val="00E6167D"/>
    <w:rsid w:val="00E74538"/>
    <w:rsid w:val="00E81C8A"/>
    <w:rsid w:val="00E82E56"/>
    <w:rsid w:val="00E944C1"/>
    <w:rsid w:val="00EC2C66"/>
    <w:rsid w:val="00FA07CA"/>
    <w:rsid w:val="00FA6D6F"/>
    <w:rsid w:val="00FB2B28"/>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ying.epigeum.com/how-it-works" TargetMode="External"/><Relationship Id="rId13" Type="http://schemas.openxmlformats.org/officeDocument/2006/relationships/hyperlink" Target="https://digmedia.cdu.edu.au/ssdcms/ipublic.do?u=775ac0f0cd46494"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unselling@cdu.edu.a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ocacy@cdu.edu.a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mplaints@cdu.edu.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du.edu.au/opc/contact-officer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7E873-E7DA-4D41-922E-5CC824511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2</cp:revision>
  <cp:lastPrinted>2021-01-27T23:33:00Z</cp:lastPrinted>
  <dcterms:created xsi:type="dcterms:W3CDTF">2021-02-04T23:52:00Z</dcterms:created>
  <dcterms:modified xsi:type="dcterms:W3CDTF">2021-02-04T23:52:00Z</dcterms:modified>
</cp:coreProperties>
</file>