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5B6D2A" w14:textId="77777777" w:rsidR="00DB3574" w:rsidRDefault="00DB3574" w:rsidP="005E27FA">
      <w:pPr>
        <w:pStyle w:val="Title"/>
        <w:spacing w:line="276" w:lineRule="auto"/>
        <w:rPr>
          <w:noProof/>
        </w:rPr>
      </w:pPr>
      <w:r w:rsidRPr="00B91103">
        <w:rPr>
          <w:noProof/>
        </w:rPr>
        <w:t>THE FEATURES OF EXCELLENT QUALITATIVE RESEARCH</w:t>
      </w:r>
    </w:p>
    <w:p w14:paraId="7811CA0A" w14:textId="77777777" w:rsidR="00FA6D6F" w:rsidRDefault="00FA6D6F" w:rsidP="005E27FA">
      <w:pPr>
        <w:spacing w:line="276" w:lineRule="auto"/>
        <w:jc w:val="center"/>
      </w:pPr>
    </w:p>
    <w:p w14:paraId="6B67DE34" w14:textId="4E2EE4F1" w:rsidR="00DB345F" w:rsidRDefault="00DB345F" w:rsidP="005E27FA">
      <w:pPr>
        <w:spacing w:line="276" w:lineRule="auto"/>
        <w:jc w:val="center"/>
      </w:pPr>
      <w:r w:rsidRPr="00AD013F">
        <w:t>by Simon Moss</w:t>
      </w:r>
    </w:p>
    <w:p w14:paraId="4E8F1D2B" w14:textId="77777777" w:rsidR="00DB345F" w:rsidRPr="00E83FFB" w:rsidRDefault="00DB345F" w:rsidP="005E27FA">
      <w:pPr>
        <w:spacing w:line="276" w:lineRule="auto"/>
        <w:jc w:val="center"/>
      </w:pPr>
    </w:p>
    <w:p w14:paraId="14925CED" w14:textId="77777777" w:rsidR="0081211C" w:rsidRDefault="0081211C" w:rsidP="005E27FA">
      <w:pPr>
        <w:spacing w:line="276" w:lineRule="auto"/>
        <w:rPr>
          <w:rStyle w:val="Heading2Char"/>
        </w:rPr>
      </w:pPr>
    </w:p>
    <w:p w14:paraId="3E7A6344" w14:textId="743446F0" w:rsidR="00DB345F" w:rsidRPr="00DB3574" w:rsidRDefault="00DB345F" w:rsidP="005E27FA">
      <w:pPr>
        <w:spacing w:line="276" w:lineRule="auto"/>
        <w:rPr>
          <w:rStyle w:val="Heading2Char"/>
          <w:rFonts w:cstheme="majorHAnsi"/>
        </w:rPr>
      </w:pPr>
      <w:r w:rsidRPr="00DB3574">
        <w:rPr>
          <w:rStyle w:val="Heading2Char"/>
          <w:rFonts w:cstheme="majorHAnsi"/>
        </w:rPr>
        <w:t>Introduction</w:t>
      </w:r>
    </w:p>
    <w:p w14:paraId="53575E1C" w14:textId="4E03ADC3" w:rsidR="00AE153D" w:rsidRPr="00DB3574" w:rsidRDefault="00AE153D" w:rsidP="005E27FA">
      <w:pPr>
        <w:spacing w:line="276" w:lineRule="auto"/>
        <w:rPr>
          <w:rFonts w:cstheme="majorHAnsi"/>
        </w:rPr>
      </w:pPr>
    </w:p>
    <w:p w14:paraId="6DCF37E6" w14:textId="77777777" w:rsidR="00DB3574" w:rsidRPr="00DB3574" w:rsidRDefault="00DB3574" w:rsidP="005E27FA">
      <w:pPr>
        <w:spacing w:line="276" w:lineRule="auto"/>
        <w:ind w:firstLine="720"/>
        <w:rPr>
          <w:rFonts w:cstheme="majorHAnsi"/>
          <w:noProof/>
          <w:szCs w:val="22"/>
        </w:rPr>
      </w:pPr>
      <w:r w:rsidRPr="00DB3574">
        <w:rPr>
          <w:rFonts w:cstheme="majorHAnsi"/>
          <w:noProof/>
          <w:szCs w:val="22"/>
        </w:rPr>
        <w:t xml:space="preserve">When candidates conduct qualitative research, they are often unsure how to improve their work.  What practices difference excellent qualitative research from ordinary qualitative research?  What criteria do reviewers or examiners apply to evaluate qualitative research?  This document is designed to assist both candidates and supervisors.  </w:t>
      </w:r>
    </w:p>
    <w:p w14:paraId="41A06EA3" w14:textId="77777777" w:rsidR="00DB3574" w:rsidRPr="00DB3574" w:rsidRDefault="00DB3574" w:rsidP="005E27FA">
      <w:pPr>
        <w:spacing w:line="276" w:lineRule="auto"/>
        <w:ind w:left="1985"/>
        <w:rPr>
          <w:rFonts w:cstheme="majorHAnsi"/>
          <w:noProof/>
          <w:szCs w:val="22"/>
        </w:rPr>
      </w:pPr>
    </w:p>
    <w:p w14:paraId="2FAEB69E" w14:textId="77777777" w:rsidR="005E27FA" w:rsidRDefault="005E27FA" w:rsidP="005E27FA">
      <w:pPr>
        <w:spacing w:line="276" w:lineRule="auto"/>
        <w:rPr>
          <w:rFonts w:cstheme="majorHAnsi"/>
          <w:b/>
          <w:bCs/>
          <w:noProof/>
          <w:szCs w:val="22"/>
        </w:rPr>
      </w:pPr>
    </w:p>
    <w:p w14:paraId="42C13543" w14:textId="593A612C" w:rsidR="00DB3574" w:rsidRPr="00DB3574" w:rsidRDefault="00DB3574" w:rsidP="005E27FA">
      <w:pPr>
        <w:spacing w:line="276" w:lineRule="auto"/>
        <w:rPr>
          <w:rFonts w:cstheme="majorHAnsi"/>
          <w:b/>
          <w:bCs/>
          <w:noProof/>
          <w:szCs w:val="22"/>
        </w:rPr>
      </w:pPr>
      <w:r w:rsidRPr="00DB3574">
        <w:rPr>
          <w:rFonts w:cstheme="majorHAnsi"/>
          <w:b/>
          <w:bCs/>
          <w:noProof/>
          <w:szCs w:val="22"/>
        </w:rPr>
        <w:t>Advice to candidates</w:t>
      </w:r>
    </w:p>
    <w:p w14:paraId="09252136" w14:textId="77777777" w:rsidR="00DB3574" w:rsidRPr="00DB3574" w:rsidRDefault="00DB3574" w:rsidP="005E27FA">
      <w:pPr>
        <w:spacing w:line="276" w:lineRule="auto"/>
        <w:rPr>
          <w:rFonts w:cstheme="majorHAnsi"/>
          <w:noProof/>
          <w:szCs w:val="22"/>
        </w:rPr>
      </w:pPr>
    </w:p>
    <w:p w14:paraId="7077CE3C" w14:textId="77777777" w:rsidR="00DB3574" w:rsidRPr="00DB3574" w:rsidRDefault="00DB3574" w:rsidP="005E27FA">
      <w:pPr>
        <w:spacing w:line="276" w:lineRule="auto"/>
        <w:ind w:firstLine="720"/>
        <w:rPr>
          <w:rFonts w:cstheme="majorHAnsi"/>
          <w:noProof/>
          <w:szCs w:val="22"/>
        </w:rPr>
      </w:pPr>
      <w:r w:rsidRPr="00DB3574">
        <w:rPr>
          <w:rFonts w:cstheme="majorHAnsi"/>
          <w:noProof/>
          <w:szCs w:val="22"/>
        </w:rPr>
        <w:t>Candidates should read the first section, called an inventory of practices.  In particular, candidates, and indeed all qualitative researchers, should be cognisant of all the techniques that are intended to improve the quality or trustworthineses of qualitative research.</w:t>
      </w:r>
    </w:p>
    <w:p w14:paraId="3F2FC7C9" w14:textId="77777777" w:rsidR="00DB3574" w:rsidRPr="00DB3574" w:rsidRDefault="00DB3574" w:rsidP="005E27FA">
      <w:pPr>
        <w:spacing w:line="276" w:lineRule="auto"/>
        <w:rPr>
          <w:rFonts w:cstheme="majorHAnsi"/>
          <w:noProof/>
          <w:szCs w:val="22"/>
        </w:rPr>
      </w:pPr>
    </w:p>
    <w:p w14:paraId="18159C2C" w14:textId="77777777" w:rsidR="005E27FA" w:rsidRDefault="005E27FA" w:rsidP="005E27FA">
      <w:pPr>
        <w:spacing w:line="276" w:lineRule="auto"/>
        <w:rPr>
          <w:rFonts w:cstheme="majorHAnsi"/>
          <w:b/>
          <w:bCs/>
          <w:noProof/>
          <w:szCs w:val="22"/>
        </w:rPr>
      </w:pPr>
    </w:p>
    <w:p w14:paraId="27104AC1" w14:textId="5CA098DF" w:rsidR="00DB3574" w:rsidRPr="00DB3574" w:rsidRDefault="00DB3574" w:rsidP="005E27FA">
      <w:pPr>
        <w:spacing w:line="276" w:lineRule="auto"/>
        <w:rPr>
          <w:rFonts w:cstheme="majorHAnsi"/>
          <w:b/>
          <w:bCs/>
          <w:noProof/>
          <w:szCs w:val="22"/>
        </w:rPr>
      </w:pPr>
      <w:r w:rsidRPr="00DB3574">
        <w:rPr>
          <w:rFonts w:cstheme="majorHAnsi"/>
          <w:b/>
          <w:bCs/>
          <w:noProof/>
          <w:szCs w:val="22"/>
        </w:rPr>
        <w:t>Advice to supervisors</w:t>
      </w:r>
    </w:p>
    <w:p w14:paraId="371094B2" w14:textId="77777777" w:rsidR="00DB3574" w:rsidRPr="00DB3574" w:rsidRDefault="00DB3574" w:rsidP="005E27FA">
      <w:pPr>
        <w:spacing w:line="276" w:lineRule="auto"/>
        <w:rPr>
          <w:rFonts w:cstheme="majorHAnsi"/>
          <w:noProof/>
          <w:szCs w:val="22"/>
        </w:rPr>
      </w:pPr>
    </w:p>
    <w:p w14:paraId="12254E8D" w14:textId="79886311" w:rsidR="00DB3574" w:rsidRPr="00DB3574" w:rsidRDefault="00DB3574" w:rsidP="005E27FA">
      <w:pPr>
        <w:spacing w:line="276" w:lineRule="auto"/>
        <w:ind w:firstLine="720"/>
        <w:rPr>
          <w:rFonts w:cstheme="majorHAnsi"/>
          <w:noProof/>
          <w:szCs w:val="22"/>
        </w:rPr>
      </w:pPr>
      <w:r w:rsidRPr="00DB3574">
        <w:rPr>
          <w:rFonts w:cstheme="majorHAnsi"/>
          <w:noProof/>
          <w:szCs w:val="22"/>
        </w:rPr>
        <w:t xml:space="preserve">As a supervisor, you need to guide the decisions of your candidates.  You need to help your candidates introduce routines, techniques, and practices that enhance their work.  You need to improve the extent to which their work is rich and meaningful as well as trustworthy and credible.  This document helps you achieve this goal. </w:t>
      </w:r>
    </w:p>
    <w:p w14:paraId="004D7718" w14:textId="36DE8732" w:rsidR="00DB3574" w:rsidRPr="00DB3574" w:rsidRDefault="00DB3574" w:rsidP="005E27FA">
      <w:pPr>
        <w:spacing w:line="276" w:lineRule="auto"/>
        <w:ind w:firstLine="720"/>
        <w:rPr>
          <w:rFonts w:cstheme="majorHAnsi"/>
          <w:noProof/>
          <w:szCs w:val="22"/>
        </w:rPr>
      </w:pPr>
    </w:p>
    <w:p w14:paraId="11F55AD7" w14:textId="0A82D6C0" w:rsidR="00DB3574" w:rsidRPr="00DB3574" w:rsidRDefault="00DB3574" w:rsidP="005E27FA">
      <w:pPr>
        <w:spacing w:line="276" w:lineRule="auto"/>
        <w:rPr>
          <w:rFonts w:cstheme="majorHAnsi"/>
          <w:noProof/>
          <w:szCs w:val="22"/>
        </w:rPr>
      </w:pPr>
    </w:p>
    <w:p w14:paraId="58753786" w14:textId="491DB8BF" w:rsidR="00DB3574" w:rsidRPr="00DB3574" w:rsidRDefault="00DB3574" w:rsidP="005E27FA">
      <w:pPr>
        <w:pStyle w:val="Heading2"/>
        <w:spacing w:line="276" w:lineRule="auto"/>
        <w:rPr>
          <w:rFonts w:asciiTheme="majorHAnsi" w:hAnsiTheme="majorHAnsi" w:cstheme="majorHAnsi"/>
          <w:noProof/>
        </w:rPr>
      </w:pPr>
      <w:r w:rsidRPr="00DB3574">
        <w:rPr>
          <w:rFonts w:asciiTheme="majorHAnsi" w:hAnsiTheme="majorHAnsi" w:cstheme="majorHAnsi"/>
          <w:noProof/>
        </w:rPr>
        <w:t>An inventory of practices</w:t>
      </w:r>
    </w:p>
    <w:p w14:paraId="0DC6A68F" w14:textId="62EEAD2D" w:rsidR="00DB3574" w:rsidRPr="00DB3574" w:rsidRDefault="00DB3574" w:rsidP="005E27FA">
      <w:pPr>
        <w:spacing w:line="276" w:lineRule="auto"/>
        <w:rPr>
          <w:rFonts w:cstheme="majorHAnsi"/>
          <w:lang w:val="en-AU"/>
        </w:rPr>
      </w:pPr>
    </w:p>
    <w:p w14:paraId="1E87BD44" w14:textId="0826B7FC" w:rsidR="00DB3574" w:rsidRPr="00DB3574" w:rsidRDefault="00DB3574" w:rsidP="005E27FA">
      <w:pPr>
        <w:spacing w:line="276" w:lineRule="auto"/>
        <w:ind w:firstLine="720"/>
        <w:rPr>
          <w:rFonts w:cstheme="majorHAnsi"/>
          <w:noProof/>
          <w:szCs w:val="22"/>
        </w:rPr>
      </w:pPr>
      <w:r w:rsidRPr="00DB3574">
        <w:rPr>
          <w:rFonts w:cstheme="majorHAnsi"/>
          <w:noProof/>
          <w:szCs w:val="22"/>
        </w:rPr>
        <w:t xml:space="preserve">The following tables present an inventory of criteria or practices that candidates, or indeed all researchers, might consider to enhance their work.  Which practices candidates apply will depend on their topic, circumstances, and preferences as well as the theoretical perspective, methodology, and methods they chose.  Nevertheless, most candidates should apply, or at least consider, most of these practices.  The aim of these techniques is to fulfill five criteria </w:t>
      </w:r>
      <w:r w:rsidR="00736100">
        <w:rPr>
          <w:rFonts w:cstheme="majorHAnsi"/>
          <w:noProof/>
          <w:szCs w:val="22"/>
        </w:rPr>
        <w:t xml:space="preserve">of trustworthiness </w:t>
      </w:r>
      <w:r w:rsidRPr="00DB3574">
        <w:rPr>
          <w:rFonts w:cstheme="majorHAnsi"/>
          <w:noProof/>
          <w:szCs w:val="22"/>
        </w:rPr>
        <w:t>(Lincoln, 1995; for other discussions on the critiera to assess quality, see Baxter &amp; Eyles, 1997):</w:t>
      </w:r>
    </w:p>
    <w:p w14:paraId="58748AEE" w14:textId="77777777" w:rsidR="00DB3574" w:rsidRPr="00DB3574" w:rsidRDefault="00DB3574" w:rsidP="005E27FA">
      <w:pPr>
        <w:spacing w:line="276" w:lineRule="auto"/>
        <w:ind w:left="1625"/>
        <w:rPr>
          <w:rFonts w:cstheme="majorHAnsi"/>
          <w:noProof/>
          <w:szCs w:val="22"/>
        </w:rPr>
      </w:pPr>
    </w:p>
    <w:p w14:paraId="0A02B344" w14:textId="77777777" w:rsidR="00DB3574" w:rsidRPr="00DB3574" w:rsidRDefault="00DB3574" w:rsidP="005E27FA">
      <w:pPr>
        <w:pStyle w:val="ListParagraph"/>
        <w:numPr>
          <w:ilvl w:val="0"/>
          <w:numId w:val="37"/>
        </w:numPr>
        <w:spacing w:before="0" w:after="0" w:line="276" w:lineRule="auto"/>
        <w:rPr>
          <w:rFonts w:cstheme="majorHAnsi"/>
          <w:noProof/>
          <w:szCs w:val="22"/>
        </w:rPr>
      </w:pPr>
      <w:r w:rsidRPr="00DB3574">
        <w:rPr>
          <w:rFonts w:cstheme="majorHAnsi"/>
          <w:noProof/>
          <w:szCs w:val="22"/>
        </w:rPr>
        <w:t>Credibility: Do the community members or population feel the findings accurately represent their experience—comparable to internal validity in quantitative studies?</w:t>
      </w:r>
    </w:p>
    <w:p w14:paraId="24A3F346" w14:textId="77777777" w:rsidR="00DB3574" w:rsidRPr="00DB3574" w:rsidRDefault="00DB3574" w:rsidP="005E27FA">
      <w:pPr>
        <w:pStyle w:val="ListParagraph"/>
        <w:numPr>
          <w:ilvl w:val="0"/>
          <w:numId w:val="37"/>
        </w:numPr>
        <w:spacing w:before="0" w:after="0" w:line="276" w:lineRule="auto"/>
        <w:rPr>
          <w:rFonts w:cstheme="majorHAnsi"/>
          <w:noProof/>
          <w:szCs w:val="22"/>
        </w:rPr>
      </w:pPr>
      <w:r w:rsidRPr="00DB3574">
        <w:rPr>
          <w:rFonts w:cstheme="majorHAnsi"/>
          <w:noProof/>
          <w:szCs w:val="22"/>
        </w:rPr>
        <w:lastRenderedPageBreak/>
        <w:t>Transferability: Would the findings apply to other relevant communities or settings—comparable to external validity in quantitative studies?</w:t>
      </w:r>
    </w:p>
    <w:p w14:paraId="40B8876A" w14:textId="0CCC26F5" w:rsidR="00DB3574" w:rsidRPr="00DB3574" w:rsidRDefault="00DB3574" w:rsidP="005E27FA">
      <w:pPr>
        <w:pStyle w:val="ListParagraph"/>
        <w:numPr>
          <w:ilvl w:val="0"/>
          <w:numId w:val="37"/>
        </w:numPr>
        <w:spacing w:before="0" w:after="0" w:line="276" w:lineRule="auto"/>
        <w:rPr>
          <w:rFonts w:cstheme="majorHAnsi"/>
          <w:noProof/>
          <w:szCs w:val="22"/>
        </w:rPr>
      </w:pPr>
      <w:r w:rsidRPr="00DB3574">
        <w:rPr>
          <w:rFonts w:cstheme="majorHAnsi"/>
          <w:noProof/>
          <w:szCs w:val="22"/>
        </w:rPr>
        <w:t xml:space="preserve">Dependability: If </w:t>
      </w:r>
      <w:r w:rsidR="00214A32">
        <w:rPr>
          <w:rFonts w:cstheme="majorHAnsi"/>
          <w:noProof/>
          <w:szCs w:val="22"/>
        </w:rPr>
        <w:t>the research was conducted again</w:t>
      </w:r>
      <w:r w:rsidRPr="00DB3574">
        <w:rPr>
          <w:rFonts w:cstheme="majorHAnsi"/>
          <w:noProof/>
          <w:szCs w:val="22"/>
        </w:rPr>
        <w:t>, would t</w:t>
      </w:r>
      <w:r w:rsidR="00214A32">
        <w:rPr>
          <w:rFonts w:cstheme="majorHAnsi"/>
          <w:noProof/>
          <w:szCs w:val="22"/>
        </w:rPr>
        <w:t xml:space="preserve">he research generate </w:t>
      </w:r>
      <w:r w:rsidR="007907FC">
        <w:rPr>
          <w:rFonts w:cstheme="majorHAnsi"/>
          <w:noProof/>
          <w:szCs w:val="22"/>
        </w:rPr>
        <w:t xml:space="preserve">similar </w:t>
      </w:r>
      <w:r w:rsidRPr="00DB3574">
        <w:rPr>
          <w:rFonts w:cstheme="majorHAnsi"/>
          <w:noProof/>
          <w:szCs w:val="22"/>
        </w:rPr>
        <w:t>findings—comparable to reliability in quantitative studies?</w:t>
      </w:r>
    </w:p>
    <w:p w14:paraId="022FD630" w14:textId="2BAAAF7A" w:rsidR="00DB3574" w:rsidRPr="009C53FA" w:rsidRDefault="00DB3574" w:rsidP="009C53FA">
      <w:pPr>
        <w:pStyle w:val="ListParagraph"/>
        <w:numPr>
          <w:ilvl w:val="0"/>
          <w:numId w:val="37"/>
        </w:numPr>
        <w:spacing w:before="0" w:after="0" w:line="276" w:lineRule="auto"/>
        <w:rPr>
          <w:rFonts w:cstheme="majorHAnsi"/>
          <w:noProof/>
          <w:szCs w:val="22"/>
        </w:rPr>
      </w:pPr>
      <w:r w:rsidRPr="00DB3574">
        <w:rPr>
          <w:rFonts w:cstheme="majorHAnsi"/>
          <w:noProof/>
          <w:szCs w:val="22"/>
        </w:rPr>
        <w:t xml:space="preserve">Confirmability: </w:t>
      </w:r>
      <w:r w:rsidR="009C53FA">
        <w:rPr>
          <w:rFonts w:cstheme="majorHAnsi"/>
          <w:noProof/>
          <w:szCs w:val="22"/>
        </w:rPr>
        <w:t>Would other researchers generate comparable findings—indicating the findings are not sk</w:t>
      </w:r>
      <w:r w:rsidR="00A32167">
        <w:rPr>
          <w:rFonts w:cstheme="majorHAnsi"/>
          <w:noProof/>
          <w:szCs w:val="22"/>
        </w:rPr>
        <w:t>e</w:t>
      </w:r>
      <w:r w:rsidR="009C53FA">
        <w:rPr>
          <w:rFonts w:cstheme="majorHAnsi"/>
          <w:noProof/>
          <w:szCs w:val="22"/>
        </w:rPr>
        <w:t xml:space="preserve">wed by </w:t>
      </w:r>
      <w:r w:rsidRPr="009C53FA">
        <w:rPr>
          <w:rFonts w:cstheme="majorHAnsi"/>
          <w:noProof/>
          <w:szCs w:val="22"/>
        </w:rPr>
        <w:t>the biases, motivations, and values of the researchers?</w:t>
      </w:r>
    </w:p>
    <w:p w14:paraId="00389967" w14:textId="505EB350" w:rsidR="00DB3574" w:rsidRPr="00DB3574" w:rsidRDefault="00DB3574" w:rsidP="005E27FA">
      <w:pPr>
        <w:pStyle w:val="ListParagraph"/>
        <w:numPr>
          <w:ilvl w:val="0"/>
          <w:numId w:val="37"/>
        </w:numPr>
        <w:spacing w:before="0" w:after="0" w:line="276" w:lineRule="auto"/>
        <w:rPr>
          <w:rFonts w:cstheme="majorHAnsi"/>
          <w:noProof/>
          <w:szCs w:val="22"/>
        </w:rPr>
      </w:pPr>
      <w:r w:rsidRPr="00DB3574">
        <w:rPr>
          <w:rFonts w:cstheme="majorHAnsi"/>
          <w:noProof/>
          <w:szCs w:val="22"/>
        </w:rPr>
        <w:t xml:space="preserve">Authenticity: </w:t>
      </w:r>
      <w:r w:rsidR="00810BA4">
        <w:rPr>
          <w:rFonts w:cstheme="majorHAnsi"/>
          <w:noProof/>
          <w:szCs w:val="22"/>
        </w:rPr>
        <w:t>Is the research worthwhile rather than merely valid; for example,</w:t>
      </w:r>
      <w:r w:rsidRPr="00DB3574">
        <w:rPr>
          <w:rFonts w:cstheme="majorHAnsi"/>
          <w:noProof/>
          <w:szCs w:val="22"/>
        </w:rPr>
        <w:t xml:space="preserve"> willl the findings effect change?  </w:t>
      </w:r>
    </w:p>
    <w:p w14:paraId="1661AD1C" w14:textId="77777777" w:rsidR="00DB3574" w:rsidRPr="00DB3574" w:rsidRDefault="00DB3574" w:rsidP="005E27FA">
      <w:pPr>
        <w:spacing w:line="276" w:lineRule="auto"/>
        <w:ind w:left="1985"/>
        <w:rPr>
          <w:rFonts w:cstheme="majorHAnsi"/>
          <w:noProof/>
          <w:szCs w:val="22"/>
        </w:rPr>
      </w:pPr>
    </w:p>
    <w:p w14:paraId="3C3AC77C" w14:textId="77777777" w:rsidR="00DB3574" w:rsidRPr="00DB3574" w:rsidRDefault="00DB3574" w:rsidP="005E27FA">
      <w:pPr>
        <w:spacing w:line="276" w:lineRule="auto"/>
        <w:ind w:left="1985"/>
        <w:rPr>
          <w:rFonts w:cstheme="majorHAnsi"/>
          <w:noProof/>
          <w:szCs w:val="22"/>
        </w:rPr>
      </w:pPr>
    </w:p>
    <w:p w14:paraId="3603B218" w14:textId="77777777" w:rsidR="00DB3574" w:rsidRPr="00DB3574" w:rsidRDefault="00DB3574" w:rsidP="005E27FA">
      <w:pPr>
        <w:spacing w:line="276" w:lineRule="auto"/>
        <w:rPr>
          <w:rFonts w:cstheme="majorHAnsi"/>
          <w:b/>
          <w:noProof/>
          <w:szCs w:val="22"/>
        </w:rPr>
      </w:pPr>
      <w:r w:rsidRPr="00DB3574">
        <w:rPr>
          <w:rFonts w:cstheme="majorHAnsi"/>
          <w:b/>
          <w:noProof/>
          <w:szCs w:val="22"/>
        </w:rPr>
        <w:t>Data collection</w:t>
      </w:r>
    </w:p>
    <w:p w14:paraId="46D41896" w14:textId="77777777" w:rsidR="00DB3574" w:rsidRPr="00DB3574" w:rsidRDefault="00DB3574" w:rsidP="005E27FA">
      <w:pPr>
        <w:spacing w:line="276" w:lineRule="auto"/>
        <w:ind w:left="1985"/>
        <w:rPr>
          <w:rFonts w:cstheme="majorHAnsi"/>
          <w:b/>
          <w:noProof/>
          <w:szCs w:val="22"/>
        </w:rPr>
      </w:pPr>
    </w:p>
    <w:p w14:paraId="51C01279" w14:textId="77777777" w:rsidR="00DB3574" w:rsidRPr="00DB3574" w:rsidRDefault="00DB3574" w:rsidP="005E27FA">
      <w:pPr>
        <w:spacing w:line="276" w:lineRule="auto"/>
        <w:rPr>
          <w:rFonts w:cstheme="majorHAnsi"/>
          <w:noProof/>
          <w:szCs w:val="22"/>
        </w:rPr>
      </w:pPr>
      <w:r w:rsidRPr="00DB3574">
        <w:rPr>
          <w:rFonts w:cstheme="majorHAnsi"/>
          <w:b/>
          <w:noProof/>
          <w:szCs w:val="22"/>
        </w:rPr>
        <w:tab/>
      </w:r>
      <w:r w:rsidRPr="00DB3574">
        <w:rPr>
          <w:rFonts w:cstheme="majorHAnsi"/>
          <w:noProof/>
          <w:szCs w:val="22"/>
        </w:rPr>
        <w:t xml:space="preserve">The first set of techniques and practices tend to revolve around the collection and transcription of data including the interview procedures. </w:t>
      </w:r>
    </w:p>
    <w:p w14:paraId="50919FF2" w14:textId="77777777" w:rsidR="00DB3574" w:rsidRPr="00DB3574" w:rsidRDefault="00DB3574" w:rsidP="005E27FA">
      <w:pPr>
        <w:spacing w:line="276" w:lineRule="auto"/>
        <w:rPr>
          <w:rFonts w:cstheme="majorHAnsi"/>
          <w:b/>
          <w:noProof/>
          <w:szCs w:val="22"/>
        </w:rPr>
      </w:pPr>
    </w:p>
    <w:tbl>
      <w:tblPr>
        <w:tblStyle w:val="TableGrid"/>
        <w:tblW w:w="9639" w:type="dxa"/>
        <w:tblInd w:w="-3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809"/>
        <w:gridCol w:w="4145"/>
        <w:gridCol w:w="3685"/>
      </w:tblGrid>
      <w:tr w:rsidR="00DB3574" w:rsidRPr="00DB3574" w14:paraId="1EF4AD25" w14:textId="77777777" w:rsidTr="00DB3574">
        <w:trPr>
          <w:trHeight w:val="355"/>
        </w:trPr>
        <w:tc>
          <w:tcPr>
            <w:tcW w:w="1809" w:type="dxa"/>
            <w:shd w:val="clear" w:color="auto" w:fill="C6EBD6" w:themeFill="accent5" w:themeFillTint="66"/>
          </w:tcPr>
          <w:p w14:paraId="7DB1E7A5" w14:textId="77777777" w:rsidR="00DB3574" w:rsidRPr="00DB3574" w:rsidRDefault="00DB3574" w:rsidP="005E27FA">
            <w:pPr>
              <w:spacing w:line="276" w:lineRule="auto"/>
              <w:jc w:val="center"/>
              <w:rPr>
                <w:rFonts w:cstheme="majorHAnsi"/>
                <w:b/>
                <w:lang w:val="en-AU"/>
              </w:rPr>
            </w:pPr>
            <w:r w:rsidRPr="00DB3574">
              <w:rPr>
                <w:rFonts w:cstheme="majorHAnsi"/>
              </w:rPr>
              <w:t>Practice or criterion</w:t>
            </w:r>
          </w:p>
        </w:tc>
        <w:tc>
          <w:tcPr>
            <w:tcW w:w="4145" w:type="dxa"/>
            <w:shd w:val="clear" w:color="auto" w:fill="C6EBD6" w:themeFill="accent5" w:themeFillTint="66"/>
          </w:tcPr>
          <w:p w14:paraId="2D1091E3" w14:textId="77777777" w:rsidR="00DB3574" w:rsidRPr="00DB3574" w:rsidRDefault="00DB3574" w:rsidP="005E27FA">
            <w:pPr>
              <w:spacing w:line="276" w:lineRule="auto"/>
              <w:jc w:val="center"/>
              <w:rPr>
                <w:rFonts w:cstheme="majorHAnsi"/>
              </w:rPr>
            </w:pPr>
            <w:r w:rsidRPr="00DB3574">
              <w:rPr>
                <w:rFonts w:cstheme="majorHAnsi"/>
              </w:rPr>
              <w:t>Description</w:t>
            </w:r>
          </w:p>
        </w:tc>
        <w:tc>
          <w:tcPr>
            <w:tcW w:w="3685" w:type="dxa"/>
            <w:shd w:val="clear" w:color="auto" w:fill="C6EBD6" w:themeFill="accent5" w:themeFillTint="66"/>
          </w:tcPr>
          <w:p w14:paraId="6FB98F7F" w14:textId="77777777" w:rsidR="00DB3574" w:rsidRPr="00DB3574" w:rsidRDefault="00DB3574" w:rsidP="005E27FA">
            <w:pPr>
              <w:spacing w:line="276" w:lineRule="auto"/>
              <w:jc w:val="center"/>
              <w:rPr>
                <w:rFonts w:cstheme="majorHAnsi"/>
              </w:rPr>
            </w:pPr>
            <w:r w:rsidRPr="00DB3574">
              <w:rPr>
                <w:rFonts w:cstheme="majorHAnsi"/>
              </w:rPr>
              <w:t xml:space="preserve">Caveats, references, </w:t>
            </w:r>
          </w:p>
          <w:p w14:paraId="3CC2F9C4" w14:textId="77777777" w:rsidR="00DB3574" w:rsidRPr="00DB3574" w:rsidRDefault="00DB3574" w:rsidP="005E27FA">
            <w:pPr>
              <w:spacing w:line="276" w:lineRule="auto"/>
              <w:jc w:val="center"/>
              <w:rPr>
                <w:rFonts w:cstheme="majorHAnsi"/>
              </w:rPr>
            </w:pPr>
            <w:r w:rsidRPr="00DB3574">
              <w:rPr>
                <w:rFonts w:cstheme="majorHAnsi"/>
              </w:rPr>
              <w:t>and other details</w:t>
            </w:r>
          </w:p>
        </w:tc>
      </w:tr>
      <w:tr w:rsidR="00DB3574" w:rsidRPr="00DB3574" w14:paraId="5A594257" w14:textId="77777777" w:rsidTr="00DB3574">
        <w:trPr>
          <w:trHeight w:val="369"/>
        </w:trPr>
        <w:tc>
          <w:tcPr>
            <w:tcW w:w="1809" w:type="dxa"/>
            <w:shd w:val="clear" w:color="auto" w:fill="D9D9D9" w:themeFill="background1" w:themeFillShade="D9"/>
          </w:tcPr>
          <w:p w14:paraId="2BA32F39" w14:textId="77777777" w:rsidR="00DB3574" w:rsidRPr="00DB3574" w:rsidRDefault="00DB3574" w:rsidP="005E27FA">
            <w:pPr>
              <w:spacing w:line="276" w:lineRule="auto"/>
              <w:rPr>
                <w:rFonts w:cstheme="majorHAnsi"/>
              </w:rPr>
            </w:pPr>
            <w:r w:rsidRPr="00DB3574">
              <w:rPr>
                <w:rFonts w:cstheme="majorHAnsi"/>
                <w:noProof/>
              </w:rPr>
              <w:t xml:space="preserve">Data saturation </w:t>
            </w:r>
          </w:p>
        </w:tc>
        <w:tc>
          <w:tcPr>
            <w:tcW w:w="4145" w:type="dxa"/>
            <w:shd w:val="clear" w:color="auto" w:fill="D9D9D9" w:themeFill="background1" w:themeFillShade="D9"/>
          </w:tcPr>
          <w:p w14:paraId="2E575BD3" w14:textId="77777777" w:rsidR="00DB3574" w:rsidRPr="00DB3574" w:rsidRDefault="00DB3574" w:rsidP="005E27FA">
            <w:pPr>
              <w:spacing w:line="276" w:lineRule="auto"/>
              <w:rPr>
                <w:rFonts w:cstheme="majorHAnsi"/>
              </w:rPr>
            </w:pPr>
            <w:r w:rsidRPr="00DB3574">
              <w:rPr>
                <w:rFonts w:cstheme="majorHAnsi"/>
              </w:rPr>
              <w:t>Rather than decide the amount of data to collect in advance, continue to collect data until additional data does not generate novel codes or themes.  To increase the likelihood of data saturation</w:t>
            </w:r>
          </w:p>
          <w:p w14:paraId="686A7761" w14:textId="77777777" w:rsidR="00DB3574" w:rsidRPr="00DB3574" w:rsidRDefault="00DB3574" w:rsidP="005E27FA">
            <w:pPr>
              <w:spacing w:line="276" w:lineRule="auto"/>
              <w:rPr>
                <w:rFonts w:cstheme="majorHAnsi"/>
              </w:rPr>
            </w:pPr>
          </w:p>
          <w:p w14:paraId="5772BA40" w14:textId="77777777" w:rsidR="00DB3574" w:rsidRPr="00DB3574" w:rsidRDefault="00DB3574" w:rsidP="005E27FA">
            <w:pPr>
              <w:pStyle w:val="ListParagraph"/>
              <w:numPr>
                <w:ilvl w:val="0"/>
                <w:numId w:val="31"/>
              </w:numPr>
              <w:spacing w:before="0" w:after="0" w:line="276" w:lineRule="auto"/>
              <w:rPr>
                <w:rFonts w:cstheme="majorHAnsi"/>
              </w:rPr>
            </w:pPr>
            <w:r w:rsidRPr="00DB3574">
              <w:rPr>
                <w:rFonts w:cstheme="majorHAnsi"/>
              </w:rPr>
              <w:t>Interview people who are not the obvious respondents</w:t>
            </w:r>
          </w:p>
          <w:p w14:paraId="6760064F" w14:textId="77777777" w:rsidR="00DB3574" w:rsidRPr="00DB3574" w:rsidRDefault="00DB3574" w:rsidP="005E27FA">
            <w:pPr>
              <w:pStyle w:val="ListParagraph"/>
              <w:numPr>
                <w:ilvl w:val="0"/>
                <w:numId w:val="31"/>
              </w:numPr>
              <w:spacing w:before="0" w:after="0" w:line="276" w:lineRule="auto"/>
              <w:rPr>
                <w:rFonts w:cstheme="majorHAnsi"/>
              </w:rPr>
            </w:pPr>
            <w:r w:rsidRPr="00DB3574">
              <w:rPr>
                <w:rFonts w:cstheme="majorHAnsi"/>
              </w:rPr>
              <w:t>attempt to overcome barriers that prevent you from interviewing insightful participants</w:t>
            </w:r>
          </w:p>
          <w:p w14:paraId="69DEF577" w14:textId="77777777" w:rsidR="00DB3574" w:rsidRPr="00DB3574" w:rsidRDefault="00DB3574" w:rsidP="005E27FA">
            <w:pPr>
              <w:pStyle w:val="ListParagraph"/>
              <w:numPr>
                <w:ilvl w:val="0"/>
                <w:numId w:val="31"/>
              </w:numPr>
              <w:spacing w:before="0" w:after="0" w:line="276" w:lineRule="auto"/>
              <w:rPr>
                <w:rFonts w:cstheme="majorHAnsi"/>
              </w:rPr>
            </w:pPr>
            <w:r w:rsidRPr="00DB3574">
              <w:rPr>
                <w:rFonts w:cstheme="majorHAnsi"/>
              </w:rPr>
              <w:t>complement interviews with focus groups</w:t>
            </w:r>
          </w:p>
          <w:p w14:paraId="297BBE3C" w14:textId="77777777" w:rsidR="00DB3574" w:rsidRPr="00DB3574" w:rsidRDefault="00DB3574" w:rsidP="005E27FA">
            <w:pPr>
              <w:pStyle w:val="ListParagraph"/>
              <w:numPr>
                <w:ilvl w:val="0"/>
                <w:numId w:val="31"/>
              </w:numPr>
              <w:spacing w:before="0" w:after="0" w:line="276" w:lineRule="auto"/>
              <w:rPr>
                <w:rFonts w:cstheme="majorHAnsi"/>
              </w:rPr>
            </w:pPr>
            <w:r w:rsidRPr="00DB3574">
              <w:rPr>
                <w:rFonts w:cstheme="majorHAnsi"/>
              </w:rPr>
              <w:t xml:space="preserve">utilize distinct methods to collect data about the same topic </w:t>
            </w:r>
          </w:p>
        </w:tc>
        <w:tc>
          <w:tcPr>
            <w:tcW w:w="3685" w:type="dxa"/>
            <w:shd w:val="clear" w:color="auto" w:fill="D9D9D9" w:themeFill="background1" w:themeFillShade="D9"/>
          </w:tcPr>
          <w:p w14:paraId="0B3DBBC6" w14:textId="77777777" w:rsidR="00DB3574" w:rsidRPr="00DB3574" w:rsidRDefault="00DB3574" w:rsidP="005E27FA">
            <w:pPr>
              <w:spacing w:line="276" w:lineRule="auto"/>
              <w:rPr>
                <w:rFonts w:cstheme="majorHAnsi"/>
                <w:noProof/>
              </w:rPr>
            </w:pPr>
            <w:r w:rsidRPr="00DB3574">
              <w:rPr>
                <w:rFonts w:cstheme="majorHAnsi"/>
                <w:noProof/>
              </w:rPr>
              <w:t>See Fusch &amp; Ness (2015)</w:t>
            </w:r>
          </w:p>
        </w:tc>
      </w:tr>
      <w:tr w:rsidR="00DB3574" w:rsidRPr="00DB3574" w14:paraId="03D2D016" w14:textId="77777777" w:rsidTr="00DB3574">
        <w:trPr>
          <w:trHeight w:val="369"/>
        </w:trPr>
        <w:tc>
          <w:tcPr>
            <w:tcW w:w="1809" w:type="dxa"/>
            <w:shd w:val="clear" w:color="auto" w:fill="D9D9D9" w:themeFill="background1" w:themeFillShade="D9"/>
          </w:tcPr>
          <w:p w14:paraId="2D52F247" w14:textId="77777777" w:rsidR="00DB3574" w:rsidRPr="00DB3574" w:rsidRDefault="00DB3574" w:rsidP="005E27FA">
            <w:pPr>
              <w:spacing w:line="276" w:lineRule="auto"/>
              <w:rPr>
                <w:rFonts w:cstheme="majorHAnsi"/>
              </w:rPr>
            </w:pPr>
            <w:r w:rsidRPr="00DB3574">
              <w:rPr>
                <w:rFonts w:cstheme="majorHAnsi"/>
              </w:rPr>
              <w:t>Rich data</w:t>
            </w:r>
          </w:p>
        </w:tc>
        <w:tc>
          <w:tcPr>
            <w:tcW w:w="4145" w:type="dxa"/>
            <w:shd w:val="clear" w:color="auto" w:fill="D9D9D9" w:themeFill="background1" w:themeFillShade="D9"/>
          </w:tcPr>
          <w:p w14:paraId="62254C22" w14:textId="77777777" w:rsidR="00DB3574" w:rsidRPr="00DB3574" w:rsidRDefault="00DB3574" w:rsidP="005E27FA">
            <w:pPr>
              <w:spacing w:line="276" w:lineRule="auto"/>
              <w:rPr>
                <w:rFonts w:cstheme="majorHAnsi"/>
                <w:noProof/>
              </w:rPr>
            </w:pPr>
            <w:r w:rsidRPr="00DB3574">
              <w:rPr>
                <w:rFonts w:cstheme="majorHAnsi"/>
                <w:noProof/>
              </w:rPr>
              <w:t xml:space="preserve">Rather than seek only thick data—defined as an extensive range of data—researchers should also seek rich data.  Rich data are </w:t>
            </w:r>
          </w:p>
          <w:p w14:paraId="4BE692FC" w14:textId="77777777" w:rsidR="00DB3574" w:rsidRPr="00DB3574" w:rsidRDefault="00DB3574" w:rsidP="005E27FA">
            <w:pPr>
              <w:spacing w:line="276" w:lineRule="auto"/>
              <w:rPr>
                <w:rFonts w:cstheme="majorHAnsi"/>
                <w:noProof/>
              </w:rPr>
            </w:pPr>
          </w:p>
          <w:p w14:paraId="67A1B732" w14:textId="77777777" w:rsidR="00DB3574" w:rsidRPr="00DB3574" w:rsidRDefault="00DB3574" w:rsidP="005E27FA">
            <w:pPr>
              <w:pStyle w:val="ListParagraph"/>
              <w:numPr>
                <w:ilvl w:val="0"/>
                <w:numId w:val="30"/>
              </w:numPr>
              <w:spacing w:before="0" w:after="0" w:line="276" w:lineRule="auto"/>
              <w:rPr>
                <w:rFonts w:cstheme="majorHAnsi"/>
              </w:rPr>
            </w:pPr>
            <w:r w:rsidRPr="00DB3574">
              <w:rPr>
                <w:rFonts w:cstheme="majorHAnsi"/>
              </w:rPr>
              <w:t>nuanced—that is, themes refer to subtle differences between similar concepts</w:t>
            </w:r>
          </w:p>
          <w:p w14:paraId="41FDD759" w14:textId="77777777" w:rsidR="00DB3574" w:rsidRPr="00DB3574" w:rsidRDefault="00DB3574" w:rsidP="005E27FA">
            <w:pPr>
              <w:pStyle w:val="ListParagraph"/>
              <w:numPr>
                <w:ilvl w:val="0"/>
                <w:numId w:val="30"/>
              </w:numPr>
              <w:spacing w:before="0" w:after="0" w:line="276" w:lineRule="auto"/>
              <w:rPr>
                <w:rFonts w:cstheme="majorHAnsi"/>
              </w:rPr>
            </w:pPr>
            <w:r w:rsidRPr="00DB3574">
              <w:rPr>
                <w:rFonts w:cstheme="majorHAnsi"/>
              </w:rPr>
              <w:t>paradoxical—that is, themes comprise conflicting features</w:t>
            </w:r>
          </w:p>
          <w:p w14:paraId="423B5789" w14:textId="77777777" w:rsidR="00DB3574" w:rsidRPr="00DB3574" w:rsidRDefault="00DB3574" w:rsidP="005E27FA">
            <w:pPr>
              <w:pStyle w:val="ListParagraph"/>
              <w:numPr>
                <w:ilvl w:val="0"/>
                <w:numId w:val="30"/>
              </w:numPr>
              <w:spacing w:before="0" w:after="0" w:line="276" w:lineRule="auto"/>
              <w:rPr>
                <w:rFonts w:cstheme="majorHAnsi"/>
              </w:rPr>
            </w:pPr>
            <w:r w:rsidRPr="00DB3574">
              <w:rPr>
                <w:rFonts w:cstheme="majorHAnsi"/>
              </w:rPr>
              <w:t>intricate—that is, themes comprise many distinct but overlapping features</w:t>
            </w:r>
          </w:p>
          <w:p w14:paraId="7999F350" w14:textId="77777777" w:rsidR="00DB3574" w:rsidRPr="00DB3574" w:rsidRDefault="00DB3574" w:rsidP="005E27FA">
            <w:pPr>
              <w:pStyle w:val="ListParagraph"/>
              <w:numPr>
                <w:ilvl w:val="0"/>
                <w:numId w:val="30"/>
              </w:numPr>
              <w:spacing w:before="0" w:after="0" w:line="276" w:lineRule="auto"/>
              <w:rPr>
                <w:rFonts w:cstheme="majorHAnsi"/>
              </w:rPr>
            </w:pPr>
            <w:r w:rsidRPr="00DB3574">
              <w:rPr>
                <w:rFonts w:cstheme="majorHAnsi"/>
              </w:rPr>
              <w:lastRenderedPageBreak/>
              <w:t>multi-layered—that is, the researcher explores the same data or events from distinct perspectives</w:t>
            </w:r>
          </w:p>
          <w:p w14:paraId="22184E62" w14:textId="77777777" w:rsidR="00DB3574" w:rsidRPr="00DB3574" w:rsidRDefault="00DB3574" w:rsidP="005E27FA">
            <w:pPr>
              <w:spacing w:line="276" w:lineRule="auto"/>
              <w:rPr>
                <w:rFonts w:cstheme="majorHAnsi"/>
              </w:rPr>
            </w:pPr>
          </w:p>
          <w:p w14:paraId="1983C512" w14:textId="77777777" w:rsidR="00DB3574" w:rsidRPr="00DB3574" w:rsidRDefault="00DB3574" w:rsidP="005E27FA">
            <w:pPr>
              <w:spacing w:line="276" w:lineRule="auto"/>
              <w:rPr>
                <w:rFonts w:cstheme="majorHAnsi"/>
              </w:rPr>
            </w:pPr>
            <w:r w:rsidRPr="00DB3574">
              <w:rPr>
                <w:rFonts w:cstheme="majorHAnsi"/>
              </w:rPr>
              <w:t xml:space="preserve">When data are rich, end users who want to apply the findings of a qualitative study can more readily evaluate whether these findings are indeed applicable to their circumstances, called transferability.  Thus, as Lincoln and Guba (1985) argue, the degree to which qualitative research is transferable is more dependent on the end user and not the research per se. The researchers cannot evaluate transferability, because they do not know how the research will be applied.  These researchers can merely supply rich data to enable the end users to evaluate transferability.  </w:t>
            </w:r>
          </w:p>
        </w:tc>
        <w:tc>
          <w:tcPr>
            <w:tcW w:w="3685" w:type="dxa"/>
            <w:shd w:val="clear" w:color="auto" w:fill="D9D9D9" w:themeFill="background1" w:themeFillShade="D9"/>
          </w:tcPr>
          <w:p w14:paraId="6F2BF13E" w14:textId="77777777" w:rsidR="00DB3574" w:rsidRPr="00DB3574" w:rsidRDefault="00DB3574" w:rsidP="005E27FA">
            <w:pPr>
              <w:spacing w:line="276" w:lineRule="auto"/>
              <w:rPr>
                <w:rFonts w:cstheme="majorHAnsi"/>
                <w:noProof/>
              </w:rPr>
            </w:pPr>
            <w:r w:rsidRPr="00DB3574">
              <w:rPr>
                <w:rFonts w:cstheme="majorHAnsi"/>
                <w:noProof/>
              </w:rPr>
              <w:lastRenderedPageBreak/>
              <w:t>For a review, see Fusch &amp; Ness (2015)</w:t>
            </w:r>
          </w:p>
        </w:tc>
      </w:tr>
      <w:tr w:rsidR="00DB3574" w:rsidRPr="00DB3574" w14:paraId="6474EC8F" w14:textId="77777777" w:rsidTr="00DB3574">
        <w:trPr>
          <w:trHeight w:val="369"/>
        </w:trPr>
        <w:tc>
          <w:tcPr>
            <w:tcW w:w="1809" w:type="dxa"/>
            <w:shd w:val="clear" w:color="auto" w:fill="D9D9D9" w:themeFill="background1" w:themeFillShade="D9"/>
          </w:tcPr>
          <w:p w14:paraId="49859982" w14:textId="77777777" w:rsidR="00DB3574" w:rsidRPr="00DB3574" w:rsidRDefault="00DB3574" w:rsidP="005E27FA">
            <w:pPr>
              <w:spacing w:line="276" w:lineRule="auto"/>
              <w:rPr>
                <w:rFonts w:cstheme="majorHAnsi"/>
                <w:noProof/>
              </w:rPr>
            </w:pPr>
            <w:r w:rsidRPr="00DB3574">
              <w:rPr>
                <w:rFonts w:cstheme="majorHAnsi"/>
                <w:noProof/>
              </w:rPr>
              <w:t>Triangulation</w:t>
            </w:r>
          </w:p>
        </w:tc>
        <w:tc>
          <w:tcPr>
            <w:tcW w:w="4145" w:type="dxa"/>
            <w:shd w:val="clear" w:color="auto" w:fill="D9D9D9" w:themeFill="background1" w:themeFillShade="D9"/>
          </w:tcPr>
          <w:p w14:paraId="255EEEF0" w14:textId="77777777" w:rsidR="00DB3574" w:rsidRPr="00DB3574" w:rsidRDefault="00DB3574" w:rsidP="005E27FA">
            <w:pPr>
              <w:spacing w:line="276" w:lineRule="auto"/>
              <w:rPr>
                <w:rFonts w:cstheme="majorHAnsi"/>
                <w:noProof/>
              </w:rPr>
            </w:pPr>
            <w:r w:rsidRPr="00DB3574">
              <w:rPr>
                <w:rFonts w:cstheme="majorHAnsi"/>
                <w:noProof/>
              </w:rPr>
              <w:t xml:space="preserve">Complement one set of methods—such as interviews and focus groups—with other methods—such as document analysis—partly to overcome the limitations of each approach.  In addition, collect data from a broader range of informants, documents, or both. </w:t>
            </w:r>
          </w:p>
        </w:tc>
        <w:tc>
          <w:tcPr>
            <w:tcW w:w="3685" w:type="dxa"/>
            <w:shd w:val="clear" w:color="auto" w:fill="D9D9D9" w:themeFill="background1" w:themeFillShade="D9"/>
          </w:tcPr>
          <w:p w14:paraId="46013771" w14:textId="77777777" w:rsidR="00DB3574" w:rsidRPr="00DB3574" w:rsidRDefault="00DB3574" w:rsidP="005E27FA">
            <w:pPr>
              <w:pStyle w:val="ListParagraph"/>
              <w:numPr>
                <w:ilvl w:val="0"/>
                <w:numId w:val="33"/>
              </w:numPr>
              <w:spacing w:before="0" w:after="0" w:line="276" w:lineRule="auto"/>
              <w:rPr>
                <w:rFonts w:cstheme="majorHAnsi"/>
              </w:rPr>
            </w:pPr>
            <w:r w:rsidRPr="00DB3574">
              <w:rPr>
                <w:rFonts w:cstheme="majorHAnsi"/>
              </w:rPr>
              <w:t xml:space="preserve">See </w:t>
            </w:r>
            <w:r w:rsidRPr="00DB3574">
              <w:rPr>
                <w:rFonts w:cstheme="majorHAnsi"/>
                <w:noProof/>
              </w:rPr>
              <w:t>Shenton (2004</w:t>
            </w:r>
            <w:r w:rsidRPr="00DB3574">
              <w:rPr>
                <w:rFonts w:cstheme="majorHAnsi"/>
              </w:rPr>
              <w:t>), Section 2c</w:t>
            </w:r>
          </w:p>
          <w:p w14:paraId="37B8C41E" w14:textId="77777777" w:rsidR="00DB3574" w:rsidRPr="00DB3574" w:rsidRDefault="00DB3574" w:rsidP="005E27FA">
            <w:pPr>
              <w:pStyle w:val="ListParagraph"/>
              <w:numPr>
                <w:ilvl w:val="0"/>
                <w:numId w:val="33"/>
              </w:numPr>
              <w:spacing w:before="0" w:after="0" w:line="276" w:lineRule="auto"/>
              <w:rPr>
                <w:rFonts w:cstheme="majorHAnsi"/>
              </w:rPr>
            </w:pPr>
            <w:r w:rsidRPr="00DB3574">
              <w:rPr>
                <w:rFonts w:cstheme="majorHAnsi"/>
              </w:rPr>
              <w:t xml:space="preserve">Cite Brewer &amp; Hunter (1989); </w:t>
            </w:r>
            <w:r w:rsidRPr="00DB3574">
              <w:rPr>
                <w:rFonts w:cstheme="majorHAnsi"/>
                <w:noProof/>
              </w:rPr>
              <w:t>Fusch &amp; Ness (2015)</w:t>
            </w:r>
          </w:p>
          <w:p w14:paraId="4648731D" w14:textId="77777777" w:rsidR="00DB3574" w:rsidRPr="00DB3574" w:rsidRDefault="00DB3574" w:rsidP="005E27FA">
            <w:pPr>
              <w:spacing w:line="276" w:lineRule="auto"/>
              <w:rPr>
                <w:rFonts w:cstheme="majorHAnsi"/>
              </w:rPr>
            </w:pPr>
          </w:p>
        </w:tc>
      </w:tr>
      <w:tr w:rsidR="00DB3574" w:rsidRPr="00DB3574" w14:paraId="0DA3EA6A" w14:textId="77777777" w:rsidTr="00DB3574">
        <w:trPr>
          <w:trHeight w:val="369"/>
        </w:trPr>
        <w:tc>
          <w:tcPr>
            <w:tcW w:w="1809" w:type="dxa"/>
            <w:shd w:val="clear" w:color="auto" w:fill="D9D9D9" w:themeFill="background1" w:themeFillShade="D9"/>
          </w:tcPr>
          <w:p w14:paraId="74A41FA9" w14:textId="77777777" w:rsidR="00DB3574" w:rsidRPr="00DB3574" w:rsidRDefault="00DB3574" w:rsidP="005E27FA">
            <w:pPr>
              <w:spacing w:line="276" w:lineRule="auto"/>
              <w:rPr>
                <w:rFonts w:cstheme="majorHAnsi"/>
                <w:noProof/>
              </w:rPr>
            </w:pPr>
            <w:r w:rsidRPr="00DB3574">
              <w:rPr>
                <w:rFonts w:cstheme="majorHAnsi"/>
                <w:noProof/>
              </w:rPr>
              <w:t>Promoting honesty in informants</w:t>
            </w:r>
          </w:p>
        </w:tc>
        <w:tc>
          <w:tcPr>
            <w:tcW w:w="4145" w:type="dxa"/>
            <w:shd w:val="clear" w:color="auto" w:fill="D9D9D9" w:themeFill="background1" w:themeFillShade="D9"/>
          </w:tcPr>
          <w:p w14:paraId="575F7DF2" w14:textId="77777777" w:rsidR="00DB3574" w:rsidRPr="00DB3574" w:rsidRDefault="00DB3574" w:rsidP="005E27FA">
            <w:pPr>
              <w:spacing w:line="276" w:lineRule="auto"/>
              <w:rPr>
                <w:rFonts w:cstheme="majorHAnsi"/>
                <w:noProof/>
              </w:rPr>
            </w:pPr>
            <w:r w:rsidRPr="00DB3574">
              <w:rPr>
                <w:rFonts w:cstheme="majorHAnsi"/>
                <w:noProof/>
              </w:rPr>
              <w:t>To encourage informants to be as honest as possible, researchers should</w:t>
            </w:r>
          </w:p>
          <w:p w14:paraId="056F87F5" w14:textId="77777777" w:rsidR="00DB3574" w:rsidRPr="00DB3574" w:rsidRDefault="00DB3574" w:rsidP="005E27FA">
            <w:pPr>
              <w:spacing w:line="276" w:lineRule="auto"/>
              <w:rPr>
                <w:rFonts w:cstheme="majorHAnsi"/>
                <w:noProof/>
              </w:rPr>
            </w:pPr>
          </w:p>
          <w:p w14:paraId="22BF69B8" w14:textId="77777777" w:rsidR="00DB3574" w:rsidRPr="00DB3574" w:rsidRDefault="00DB3574" w:rsidP="005E27FA">
            <w:pPr>
              <w:pStyle w:val="ListParagraph"/>
              <w:numPr>
                <w:ilvl w:val="0"/>
                <w:numId w:val="34"/>
              </w:numPr>
              <w:spacing w:before="0" w:after="0" w:line="276" w:lineRule="auto"/>
              <w:rPr>
                <w:rFonts w:cstheme="majorHAnsi"/>
              </w:rPr>
            </w:pPr>
            <w:r w:rsidRPr="00DB3574">
              <w:rPr>
                <w:rFonts w:cstheme="majorHAnsi"/>
              </w:rPr>
              <w:t xml:space="preserve">attempt to develop a strong rapport before asking invasive questions.  That is, before each interview, or early in the interview, share personal background and goals  </w:t>
            </w:r>
          </w:p>
          <w:p w14:paraId="244775A9" w14:textId="77777777" w:rsidR="00DB3574" w:rsidRPr="00DB3574" w:rsidRDefault="00DB3574" w:rsidP="005E27FA">
            <w:pPr>
              <w:pStyle w:val="ListParagraph"/>
              <w:numPr>
                <w:ilvl w:val="0"/>
                <w:numId w:val="34"/>
              </w:numPr>
              <w:spacing w:before="0" w:after="0" w:line="276" w:lineRule="auto"/>
              <w:rPr>
                <w:rFonts w:cstheme="majorHAnsi"/>
              </w:rPr>
            </w:pPr>
            <w:r w:rsidRPr="00DB3574">
              <w:rPr>
                <w:rFonts w:cstheme="majorHAnsi"/>
              </w:rPr>
              <w:t>emphasize that answers are not correct or incorrect—and even vague or unformed responses could be very helpful</w:t>
            </w:r>
          </w:p>
          <w:p w14:paraId="6479A89D" w14:textId="77777777" w:rsidR="00DB3574" w:rsidRPr="00DB3574" w:rsidRDefault="00DB3574" w:rsidP="005E27FA">
            <w:pPr>
              <w:pStyle w:val="ListParagraph"/>
              <w:numPr>
                <w:ilvl w:val="0"/>
                <w:numId w:val="34"/>
              </w:numPr>
              <w:spacing w:before="0" w:after="0" w:line="276" w:lineRule="auto"/>
              <w:rPr>
                <w:rFonts w:cstheme="majorHAnsi"/>
              </w:rPr>
            </w:pPr>
            <w:r w:rsidRPr="00DB3574">
              <w:rPr>
                <w:rFonts w:cstheme="majorHAnsi"/>
              </w:rPr>
              <w:t xml:space="preserve">highlight their independence from the leaders of these informants if applicable </w:t>
            </w:r>
          </w:p>
        </w:tc>
        <w:tc>
          <w:tcPr>
            <w:tcW w:w="3685" w:type="dxa"/>
            <w:shd w:val="clear" w:color="auto" w:fill="D9D9D9" w:themeFill="background1" w:themeFillShade="D9"/>
          </w:tcPr>
          <w:p w14:paraId="2A466F2B" w14:textId="77777777" w:rsidR="00DB3574" w:rsidRPr="00DB3574" w:rsidRDefault="00DB3574" w:rsidP="005E27FA">
            <w:pPr>
              <w:pStyle w:val="ListParagraph"/>
              <w:numPr>
                <w:ilvl w:val="0"/>
                <w:numId w:val="34"/>
              </w:numPr>
              <w:spacing w:before="0" w:after="0" w:line="276" w:lineRule="auto"/>
              <w:rPr>
                <w:rFonts w:cstheme="majorHAnsi"/>
              </w:rPr>
            </w:pPr>
            <w:r w:rsidRPr="00DB3574">
              <w:rPr>
                <w:rFonts w:cstheme="majorHAnsi"/>
              </w:rPr>
              <w:t xml:space="preserve">See </w:t>
            </w:r>
            <w:r w:rsidRPr="00DB3574">
              <w:rPr>
                <w:rFonts w:cstheme="majorHAnsi"/>
                <w:noProof/>
              </w:rPr>
              <w:t>Shenton (2004</w:t>
            </w:r>
            <w:r w:rsidRPr="00DB3574">
              <w:rPr>
                <w:rFonts w:cstheme="majorHAnsi"/>
              </w:rPr>
              <w:t>), Section 2e</w:t>
            </w:r>
          </w:p>
          <w:p w14:paraId="6B23A02E" w14:textId="77777777" w:rsidR="00DB3574" w:rsidRPr="00DB3574" w:rsidRDefault="00DB3574" w:rsidP="005E27FA">
            <w:pPr>
              <w:spacing w:line="276" w:lineRule="auto"/>
              <w:rPr>
                <w:rFonts w:cstheme="majorHAnsi"/>
                <w:b/>
              </w:rPr>
            </w:pPr>
          </w:p>
          <w:p w14:paraId="50C50390" w14:textId="77777777" w:rsidR="00DB3574" w:rsidRPr="00DB3574" w:rsidRDefault="00DB3574" w:rsidP="005E27FA">
            <w:pPr>
              <w:spacing w:line="276" w:lineRule="auto"/>
              <w:rPr>
                <w:rFonts w:cstheme="majorHAnsi"/>
                <w:b/>
              </w:rPr>
            </w:pPr>
            <w:r w:rsidRPr="00DB3574">
              <w:rPr>
                <w:rFonts w:cstheme="majorHAnsi"/>
                <w:b/>
              </w:rPr>
              <w:t>References about creating rapport</w:t>
            </w:r>
          </w:p>
          <w:p w14:paraId="31269915" w14:textId="77777777" w:rsidR="00DB3574" w:rsidRPr="00DB3574" w:rsidRDefault="00DB3574" w:rsidP="005E27FA">
            <w:pPr>
              <w:pStyle w:val="ListParagraph"/>
              <w:numPr>
                <w:ilvl w:val="0"/>
                <w:numId w:val="38"/>
              </w:numPr>
              <w:spacing w:before="0" w:after="0" w:line="276" w:lineRule="auto"/>
              <w:rPr>
                <w:rFonts w:cstheme="majorHAnsi"/>
              </w:rPr>
            </w:pPr>
            <w:r w:rsidRPr="00DB3574">
              <w:rPr>
                <w:rFonts w:cstheme="majorHAnsi"/>
              </w:rPr>
              <w:t xml:space="preserve">Block, L. &amp; </w:t>
            </w:r>
            <w:proofErr w:type="spellStart"/>
            <w:r w:rsidRPr="00DB3574">
              <w:rPr>
                <w:rFonts w:cstheme="majorHAnsi"/>
              </w:rPr>
              <w:t>Leseho</w:t>
            </w:r>
            <w:proofErr w:type="spellEnd"/>
            <w:r w:rsidRPr="00DB3574">
              <w:rPr>
                <w:rFonts w:cstheme="majorHAnsi"/>
              </w:rPr>
              <w:t>, J. (2005). Listen and I tell you something: Storytelling and social action in the healing of the oppressed', British Journal of Guidance and Counselling, 33, 175-184.</w:t>
            </w:r>
          </w:p>
          <w:p w14:paraId="30CB9871" w14:textId="77777777" w:rsidR="00DB3574" w:rsidRPr="00DB3574" w:rsidRDefault="00DB3574" w:rsidP="005E27FA">
            <w:pPr>
              <w:pStyle w:val="ListParagraph"/>
              <w:numPr>
                <w:ilvl w:val="0"/>
                <w:numId w:val="38"/>
              </w:numPr>
              <w:spacing w:before="0" w:after="0" w:line="276" w:lineRule="auto"/>
              <w:rPr>
                <w:rFonts w:cstheme="majorHAnsi"/>
              </w:rPr>
            </w:pPr>
            <w:proofErr w:type="spellStart"/>
            <w:r w:rsidRPr="00DB3574">
              <w:rPr>
                <w:rFonts w:cstheme="majorHAnsi"/>
              </w:rPr>
              <w:t>Elmir</w:t>
            </w:r>
            <w:proofErr w:type="spellEnd"/>
            <w:r w:rsidRPr="00DB3574">
              <w:rPr>
                <w:rFonts w:cstheme="majorHAnsi"/>
              </w:rPr>
              <w:t xml:space="preserve">, R., </w:t>
            </w:r>
            <w:proofErr w:type="spellStart"/>
            <w:r w:rsidRPr="00DB3574">
              <w:rPr>
                <w:rFonts w:cstheme="majorHAnsi"/>
              </w:rPr>
              <w:t>Schmied</w:t>
            </w:r>
            <w:proofErr w:type="spellEnd"/>
            <w:r w:rsidRPr="00DB3574">
              <w:rPr>
                <w:rFonts w:cstheme="majorHAnsi"/>
              </w:rPr>
              <w:t>, V., Jackson, D., &amp; Wilkes, L. (2011). Interviewing people about potentially sensitive topics. Nurse Researcher, 19, 12-</w:t>
            </w:r>
            <w:proofErr w:type="gramStart"/>
            <w:r w:rsidRPr="00DB3574">
              <w:rPr>
                <w:rFonts w:cstheme="majorHAnsi"/>
              </w:rPr>
              <w:t>16.s</w:t>
            </w:r>
            <w:proofErr w:type="gramEnd"/>
          </w:p>
        </w:tc>
      </w:tr>
      <w:tr w:rsidR="00DB3574" w:rsidRPr="00DB3574" w14:paraId="15F9D027" w14:textId="77777777" w:rsidTr="00DB3574">
        <w:trPr>
          <w:trHeight w:val="369"/>
        </w:trPr>
        <w:tc>
          <w:tcPr>
            <w:tcW w:w="1809" w:type="dxa"/>
            <w:shd w:val="clear" w:color="auto" w:fill="D9D9D9" w:themeFill="background1" w:themeFillShade="D9"/>
          </w:tcPr>
          <w:p w14:paraId="6464A34C" w14:textId="77777777" w:rsidR="00DB3574" w:rsidRPr="00DB3574" w:rsidRDefault="00DB3574" w:rsidP="005E27FA">
            <w:pPr>
              <w:spacing w:line="276" w:lineRule="auto"/>
              <w:rPr>
                <w:rFonts w:cstheme="majorHAnsi"/>
                <w:noProof/>
              </w:rPr>
            </w:pPr>
            <w:r w:rsidRPr="00DB3574">
              <w:rPr>
                <w:rFonts w:cstheme="majorHAnsi"/>
                <w:noProof/>
              </w:rPr>
              <w:t>Iterative probes about details over time</w:t>
            </w:r>
          </w:p>
        </w:tc>
        <w:tc>
          <w:tcPr>
            <w:tcW w:w="4145" w:type="dxa"/>
            <w:shd w:val="clear" w:color="auto" w:fill="D9D9D9" w:themeFill="background1" w:themeFillShade="D9"/>
          </w:tcPr>
          <w:p w14:paraId="03D97CB2" w14:textId="77777777" w:rsidR="00DB3574" w:rsidRPr="00DB3574" w:rsidRDefault="00DB3574" w:rsidP="005E27FA">
            <w:pPr>
              <w:spacing w:line="276" w:lineRule="auto"/>
              <w:rPr>
                <w:rFonts w:cstheme="majorHAnsi"/>
                <w:noProof/>
              </w:rPr>
            </w:pPr>
            <w:r w:rsidRPr="00DB3574">
              <w:rPr>
                <w:rFonts w:cstheme="majorHAnsi"/>
                <w:noProof/>
              </w:rPr>
              <w:t xml:space="preserve">Researchers could probe some topic several times during an interview, striving to elicit more details.  As they garner more information, the researchers might detect </w:t>
            </w:r>
            <w:r w:rsidRPr="00DB3574">
              <w:rPr>
                <w:rFonts w:cstheme="majorHAnsi"/>
                <w:noProof/>
              </w:rPr>
              <w:lastRenderedPageBreak/>
              <w:t>clarifications and even contradictions inaccuracies—and may even discard suspect data</w:t>
            </w:r>
          </w:p>
        </w:tc>
        <w:tc>
          <w:tcPr>
            <w:tcW w:w="3685" w:type="dxa"/>
            <w:shd w:val="clear" w:color="auto" w:fill="D9D9D9" w:themeFill="background1" w:themeFillShade="D9"/>
          </w:tcPr>
          <w:p w14:paraId="49916339" w14:textId="77777777" w:rsidR="00DB3574" w:rsidRPr="00DB3574" w:rsidRDefault="00DB3574" w:rsidP="005E27FA">
            <w:pPr>
              <w:pStyle w:val="ListParagraph"/>
              <w:numPr>
                <w:ilvl w:val="0"/>
                <w:numId w:val="34"/>
              </w:numPr>
              <w:spacing w:before="0" w:after="0" w:line="276" w:lineRule="auto"/>
              <w:rPr>
                <w:rFonts w:cstheme="majorHAnsi"/>
              </w:rPr>
            </w:pPr>
            <w:r w:rsidRPr="00DB3574">
              <w:rPr>
                <w:rFonts w:cstheme="majorHAnsi"/>
              </w:rPr>
              <w:lastRenderedPageBreak/>
              <w:t xml:space="preserve">See </w:t>
            </w:r>
            <w:r w:rsidRPr="00DB3574">
              <w:rPr>
                <w:rFonts w:cstheme="majorHAnsi"/>
                <w:noProof/>
              </w:rPr>
              <w:t>Shenton (2004</w:t>
            </w:r>
            <w:r w:rsidRPr="00DB3574">
              <w:rPr>
                <w:rFonts w:cstheme="majorHAnsi"/>
              </w:rPr>
              <w:t>), Section 2f</w:t>
            </w:r>
          </w:p>
          <w:p w14:paraId="69986223" w14:textId="77777777" w:rsidR="00DB3574" w:rsidRPr="00DB3574" w:rsidRDefault="00DB3574" w:rsidP="005E27FA">
            <w:pPr>
              <w:spacing w:line="276" w:lineRule="auto"/>
              <w:rPr>
                <w:rFonts w:cstheme="majorHAnsi"/>
              </w:rPr>
            </w:pPr>
          </w:p>
        </w:tc>
      </w:tr>
      <w:tr w:rsidR="00DB3574" w:rsidRPr="00DB3574" w14:paraId="2AF28562" w14:textId="77777777" w:rsidTr="00DB3574">
        <w:trPr>
          <w:trHeight w:val="369"/>
        </w:trPr>
        <w:tc>
          <w:tcPr>
            <w:tcW w:w="1809" w:type="dxa"/>
            <w:shd w:val="clear" w:color="auto" w:fill="D9D9D9" w:themeFill="background1" w:themeFillShade="D9"/>
          </w:tcPr>
          <w:p w14:paraId="2BB3302D" w14:textId="77777777" w:rsidR="00DB3574" w:rsidRPr="00DB3574" w:rsidRDefault="00DB3574" w:rsidP="005E27FA">
            <w:pPr>
              <w:spacing w:line="276" w:lineRule="auto"/>
              <w:rPr>
                <w:rFonts w:cstheme="majorHAnsi"/>
              </w:rPr>
            </w:pPr>
            <w:r w:rsidRPr="00DB3574">
              <w:rPr>
                <w:rFonts w:cstheme="majorHAnsi"/>
                <w:noProof/>
              </w:rPr>
              <w:t>Transcription checks</w:t>
            </w:r>
          </w:p>
        </w:tc>
        <w:tc>
          <w:tcPr>
            <w:tcW w:w="4145" w:type="dxa"/>
            <w:shd w:val="clear" w:color="auto" w:fill="D9D9D9" w:themeFill="background1" w:themeFillShade="D9"/>
          </w:tcPr>
          <w:p w14:paraId="144BF72E" w14:textId="77777777" w:rsidR="00DB3574" w:rsidRPr="00DB3574" w:rsidRDefault="00DB3574" w:rsidP="005E27FA">
            <w:pPr>
              <w:spacing w:line="276" w:lineRule="auto"/>
              <w:rPr>
                <w:rFonts w:cstheme="majorHAnsi"/>
              </w:rPr>
            </w:pPr>
            <w:r w:rsidRPr="00DB3574">
              <w:rPr>
                <w:rFonts w:cstheme="majorHAnsi"/>
                <w:noProof/>
              </w:rPr>
              <w:t xml:space="preserve">To assess whether the transcription was accurate, the researcher has  assessed whether random samples of the audio data match the transcription.  </w:t>
            </w:r>
          </w:p>
        </w:tc>
        <w:tc>
          <w:tcPr>
            <w:tcW w:w="3685" w:type="dxa"/>
            <w:shd w:val="clear" w:color="auto" w:fill="D9D9D9" w:themeFill="background1" w:themeFillShade="D9"/>
          </w:tcPr>
          <w:p w14:paraId="41566877" w14:textId="77777777" w:rsidR="00DB3574" w:rsidRPr="00DB3574" w:rsidRDefault="00DB3574" w:rsidP="005E27FA">
            <w:pPr>
              <w:spacing w:line="276" w:lineRule="auto"/>
              <w:rPr>
                <w:rFonts w:cstheme="majorHAnsi"/>
              </w:rPr>
            </w:pPr>
            <w:r w:rsidRPr="00DB3574">
              <w:rPr>
                <w:rFonts w:cstheme="majorHAnsi"/>
              </w:rPr>
              <w:t>See Braun &amp; Clarke (2006), Table 2, Item 1</w:t>
            </w:r>
          </w:p>
        </w:tc>
      </w:tr>
    </w:tbl>
    <w:p w14:paraId="34F3C683" w14:textId="77777777" w:rsidR="00DB3574" w:rsidRPr="00DB3574" w:rsidRDefault="00DB3574" w:rsidP="005E27FA">
      <w:pPr>
        <w:spacing w:line="276" w:lineRule="auto"/>
        <w:ind w:left="1985"/>
        <w:rPr>
          <w:rFonts w:cstheme="majorHAnsi"/>
          <w:noProof/>
          <w:szCs w:val="22"/>
        </w:rPr>
      </w:pPr>
    </w:p>
    <w:p w14:paraId="07135521" w14:textId="77777777" w:rsidR="00DB3574" w:rsidRPr="00DB3574" w:rsidRDefault="00DB3574" w:rsidP="005E27FA">
      <w:pPr>
        <w:spacing w:line="276" w:lineRule="auto"/>
        <w:ind w:left="1985"/>
        <w:rPr>
          <w:rFonts w:cstheme="majorHAnsi"/>
          <w:b/>
          <w:noProof/>
          <w:szCs w:val="22"/>
        </w:rPr>
      </w:pPr>
    </w:p>
    <w:p w14:paraId="0BB575AF" w14:textId="77777777" w:rsidR="00DB3574" w:rsidRPr="00DB3574" w:rsidRDefault="00DB3574" w:rsidP="005E27FA">
      <w:pPr>
        <w:spacing w:line="276" w:lineRule="auto"/>
        <w:ind w:left="1985"/>
        <w:rPr>
          <w:rFonts w:cstheme="majorHAnsi"/>
          <w:b/>
          <w:noProof/>
          <w:szCs w:val="22"/>
        </w:rPr>
      </w:pPr>
    </w:p>
    <w:p w14:paraId="4B7071DF" w14:textId="77777777" w:rsidR="00DB3574" w:rsidRPr="00DB3574" w:rsidRDefault="00DB3574" w:rsidP="005E27FA">
      <w:pPr>
        <w:spacing w:line="276" w:lineRule="auto"/>
        <w:rPr>
          <w:rFonts w:cstheme="majorHAnsi"/>
          <w:b/>
          <w:noProof/>
          <w:szCs w:val="22"/>
        </w:rPr>
      </w:pPr>
      <w:r w:rsidRPr="00DB3574">
        <w:rPr>
          <w:rFonts w:cstheme="majorHAnsi"/>
          <w:b/>
          <w:noProof/>
          <w:szCs w:val="22"/>
        </w:rPr>
        <w:t>Data analysis and interpretation</w:t>
      </w:r>
    </w:p>
    <w:p w14:paraId="33CD53CD" w14:textId="77777777" w:rsidR="00DB3574" w:rsidRPr="00DB3574" w:rsidRDefault="00DB3574" w:rsidP="005E27FA">
      <w:pPr>
        <w:spacing w:line="276" w:lineRule="auto"/>
        <w:ind w:left="1985"/>
        <w:rPr>
          <w:rFonts w:cstheme="majorHAnsi"/>
          <w:b/>
          <w:noProof/>
          <w:szCs w:val="22"/>
        </w:rPr>
      </w:pPr>
      <w:r w:rsidRPr="00DB3574">
        <w:rPr>
          <w:rFonts w:cstheme="majorHAnsi"/>
          <w:b/>
          <w:noProof/>
          <w:szCs w:val="22"/>
        </w:rPr>
        <w:tab/>
      </w:r>
    </w:p>
    <w:p w14:paraId="6714A681" w14:textId="77777777" w:rsidR="00DB3574" w:rsidRPr="00DB3574" w:rsidRDefault="00DB3574" w:rsidP="005E27FA">
      <w:pPr>
        <w:spacing w:line="276" w:lineRule="auto"/>
        <w:ind w:firstLine="175"/>
        <w:rPr>
          <w:rFonts w:cstheme="majorHAnsi"/>
          <w:noProof/>
          <w:szCs w:val="22"/>
        </w:rPr>
      </w:pPr>
      <w:r w:rsidRPr="00DB3574">
        <w:rPr>
          <w:rFonts w:cstheme="majorHAnsi"/>
          <w:noProof/>
          <w:szCs w:val="22"/>
        </w:rPr>
        <w:t>The second set of techniques and practices tend to revolve around the coding and interpretation of data.</w:t>
      </w:r>
    </w:p>
    <w:p w14:paraId="1E448433" w14:textId="77777777" w:rsidR="00DB3574" w:rsidRPr="00DB3574" w:rsidRDefault="00DB3574" w:rsidP="005E27FA">
      <w:pPr>
        <w:spacing w:line="276" w:lineRule="auto"/>
        <w:ind w:left="1985"/>
        <w:rPr>
          <w:rFonts w:cstheme="majorHAnsi"/>
          <w:b/>
          <w:noProof/>
          <w:szCs w:val="22"/>
        </w:rPr>
      </w:pPr>
    </w:p>
    <w:p w14:paraId="45904A21" w14:textId="77777777" w:rsidR="00DB3574" w:rsidRPr="00DB3574" w:rsidRDefault="00DB3574" w:rsidP="005E27FA">
      <w:pPr>
        <w:spacing w:line="276" w:lineRule="auto"/>
        <w:rPr>
          <w:rFonts w:cstheme="majorHAnsi"/>
          <w:b/>
          <w:noProof/>
          <w:szCs w:val="22"/>
        </w:rPr>
      </w:pPr>
    </w:p>
    <w:tbl>
      <w:tblPr>
        <w:tblStyle w:val="TableGrid"/>
        <w:tblW w:w="9497" w:type="dxa"/>
        <w:tblInd w:w="1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701"/>
        <w:gridCol w:w="4253"/>
        <w:gridCol w:w="3543"/>
      </w:tblGrid>
      <w:tr w:rsidR="00DB3574" w:rsidRPr="00DB3574" w14:paraId="13776525" w14:textId="77777777" w:rsidTr="00DB3574">
        <w:trPr>
          <w:trHeight w:val="355"/>
        </w:trPr>
        <w:tc>
          <w:tcPr>
            <w:tcW w:w="1701" w:type="dxa"/>
            <w:shd w:val="clear" w:color="auto" w:fill="C6EBD6" w:themeFill="accent5" w:themeFillTint="66"/>
          </w:tcPr>
          <w:p w14:paraId="4B78B745" w14:textId="77777777" w:rsidR="00DB3574" w:rsidRPr="00DB3574" w:rsidRDefault="00DB3574" w:rsidP="005E27FA">
            <w:pPr>
              <w:spacing w:line="276" w:lineRule="auto"/>
              <w:jc w:val="center"/>
              <w:rPr>
                <w:rFonts w:cstheme="majorHAnsi"/>
                <w:b/>
                <w:lang w:val="en-AU"/>
              </w:rPr>
            </w:pPr>
            <w:r w:rsidRPr="00DB3574">
              <w:rPr>
                <w:rFonts w:cstheme="majorHAnsi"/>
              </w:rPr>
              <w:t>Practice or criterion</w:t>
            </w:r>
          </w:p>
        </w:tc>
        <w:tc>
          <w:tcPr>
            <w:tcW w:w="4253" w:type="dxa"/>
            <w:shd w:val="clear" w:color="auto" w:fill="C6EBD6" w:themeFill="accent5" w:themeFillTint="66"/>
          </w:tcPr>
          <w:p w14:paraId="711B9F64" w14:textId="77777777" w:rsidR="00DB3574" w:rsidRPr="00DB3574" w:rsidRDefault="00DB3574" w:rsidP="005E27FA">
            <w:pPr>
              <w:spacing w:line="276" w:lineRule="auto"/>
              <w:jc w:val="center"/>
              <w:rPr>
                <w:rFonts w:cstheme="majorHAnsi"/>
              </w:rPr>
            </w:pPr>
            <w:r w:rsidRPr="00DB3574">
              <w:rPr>
                <w:rFonts w:cstheme="majorHAnsi"/>
              </w:rPr>
              <w:t>Description</w:t>
            </w:r>
          </w:p>
        </w:tc>
        <w:tc>
          <w:tcPr>
            <w:tcW w:w="3543" w:type="dxa"/>
            <w:shd w:val="clear" w:color="auto" w:fill="C6EBD6" w:themeFill="accent5" w:themeFillTint="66"/>
          </w:tcPr>
          <w:p w14:paraId="4BBEAA8D" w14:textId="77777777" w:rsidR="00DB3574" w:rsidRPr="00DB3574" w:rsidRDefault="00DB3574" w:rsidP="005E27FA">
            <w:pPr>
              <w:spacing w:line="276" w:lineRule="auto"/>
              <w:jc w:val="center"/>
              <w:rPr>
                <w:rFonts w:cstheme="majorHAnsi"/>
              </w:rPr>
            </w:pPr>
            <w:r w:rsidRPr="00DB3574">
              <w:rPr>
                <w:rFonts w:cstheme="majorHAnsi"/>
              </w:rPr>
              <w:t xml:space="preserve">Caveats, references, </w:t>
            </w:r>
          </w:p>
          <w:p w14:paraId="6CA1BA5D" w14:textId="77777777" w:rsidR="00DB3574" w:rsidRPr="00DB3574" w:rsidRDefault="00DB3574" w:rsidP="005E27FA">
            <w:pPr>
              <w:spacing w:line="276" w:lineRule="auto"/>
              <w:jc w:val="center"/>
              <w:rPr>
                <w:rFonts w:cstheme="majorHAnsi"/>
              </w:rPr>
            </w:pPr>
            <w:r w:rsidRPr="00DB3574">
              <w:rPr>
                <w:rFonts w:cstheme="majorHAnsi"/>
              </w:rPr>
              <w:t>and other details</w:t>
            </w:r>
          </w:p>
        </w:tc>
      </w:tr>
      <w:tr w:rsidR="00DB3574" w:rsidRPr="00DB3574" w14:paraId="1F06F4AB" w14:textId="77777777" w:rsidTr="00DB3574">
        <w:trPr>
          <w:trHeight w:val="369"/>
        </w:trPr>
        <w:tc>
          <w:tcPr>
            <w:tcW w:w="1701" w:type="dxa"/>
            <w:shd w:val="clear" w:color="auto" w:fill="D9D9D9" w:themeFill="background1" w:themeFillShade="D9"/>
          </w:tcPr>
          <w:p w14:paraId="666FEA85" w14:textId="77777777" w:rsidR="00DB3574" w:rsidRPr="00DB3574" w:rsidRDefault="00DB3574" w:rsidP="005E27FA">
            <w:pPr>
              <w:spacing w:line="276" w:lineRule="auto"/>
              <w:rPr>
                <w:rFonts w:cstheme="majorHAnsi"/>
              </w:rPr>
            </w:pPr>
            <w:r w:rsidRPr="00DB3574">
              <w:rPr>
                <w:rFonts w:cstheme="majorHAnsi"/>
                <w:noProof/>
              </w:rPr>
              <w:t>Uniform attention</w:t>
            </w:r>
          </w:p>
        </w:tc>
        <w:tc>
          <w:tcPr>
            <w:tcW w:w="4253" w:type="dxa"/>
            <w:shd w:val="clear" w:color="auto" w:fill="D9D9D9" w:themeFill="background1" w:themeFillShade="D9"/>
          </w:tcPr>
          <w:p w14:paraId="6E84E55A" w14:textId="77777777" w:rsidR="00DB3574" w:rsidRPr="00DB3574" w:rsidRDefault="00DB3574" w:rsidP="005E27FA">
            <w:pPr>
              <w:spacing w:line="276" w:lineRule="auto"/>
              <w:rPr>
                <w:rFonts w:cstheme="majorHAnsi"/>
              </w:rPr>
            </w:pPr>
            <w:r w:rsidRPr="00DB3574">
              <w:rPr>
                <w:rFonts w:cstheme="majorHAnsi"/>
              </w:rPr>
              <w:t xml:space="preserve">While coding, each chunk of data—such as every answer or sentence that participants articulate—receive equal attention, at least initially. That is, the researcher does not devote more time and effort to responses that match their initial preconceptions or assumptions. </w:t>
            </w:r>
          </w:p>
        </w:tc>
        <w:tc>
          <w:tcPr>
            <w:tcW w:w="3543" w:type="dxa"/>
            <w:shd w:val="clear" w:color="auto" w:fill="D9D9D9" w:themeFill="background1" w:themeFillShade="D9"/>
          </w:tcPr>
          <w:p w14:paraId="7B5FA341" w14:textId="77777777" w:rsidR="00DB3574" w:rsidRPr="00DB3574" w:rsidRDefault="00DB3574" w:rsidP="005E27FA">
            <w:pPr>
              <w:spacing w:line="276" w:lineRule="auto"/>
              <w:rPr>
                <w:rFonts w:cstheme="majorHAnsi"/>
              </w:rPr>
            </w:pPr>
            <w:r w:rsidRPr="00DB3574">
              <w:rPr>
                <w:rFonts w:cstheme="majorHAnsi"/>
              </w:rPr>
              <w:t>See Braun &amp; Clarke (2006), Table 2, Item 2</w:t>
            </w:r>
          </w:p>
        </w:tc>
      </w:tr>
      <w:tr w:rsidR="00DB3574" w:rsidRPr="00DB3574" w14:paraId="1F78680D" w14:textId="77777777" w:rsidTr="00DB3574">
        <w:trPr>
          <w:trHeight w:val="369"/>
        </w:trPr>
        <w:tc>
          <w:tcPr>
            <w:tcW w:w="1701" w:type="dxa"/>
            <w:shd w:val="clear" w:color="auto" w:fill="D9D9D9" w:themeFill="background1" w:themeFillShade="D9"/>
          </w:tcPr>
          <w:p w14:paraId="68E507EE" w14:textId="77777777" w:rsidR="00DB3574" w:rsidRPr="00DB3574" w:rsidRDefault="00DB3574" w:rsidP="005E27FA">
            <w:pPr>
              <w:spacing w:line="276" w:lineRule="auto"/>
              <w:rPr>
                <w:rFonts w:cstheme="majorHAnsi"/>
              </w:rPr>
            </w:pPr>
            <w:r w:rsidRPr="00DB3574">
              <w:rPr>
                <w:rFonts w:cstheme="majorHAnsi"/>
                <w:noProof/>
              </w:rPr>
              <w:t>Broadness of themes or categories</w:t>
            </w:r>
          </w:p>
        </w:tc>
        <w:tc>
          <w:tcPr>
            <w:tcW w:w="4253" w:type="dxa"/>
            <w:shd w:val="clear" w:color="auto" w:fill="D9D9D9" w:themeFill="background1" w:themeFillShade="D9"/>
          </w:tcPr>
          <w:p w14:paraId="356E1E10" w14:textId="77777777" w:rsidR="00DB3574" w:rsidRPr="00DB3574" w:rsidRDefault="00DB3574" w:rsidP="005E27FA">
            <w:pPr>
              <w:spacing w:line="276" w:lineRule="auto"/>
              <w:rPr>
                <w:rFonts w:cstheme="majorHAnsi"/>
              </w:rPr>
            </w:pPr>
            <w:r w:rsidRPr="00DB3574">
              <w:rPr>
                <w:rFonts w:cstheme="majorHAnsi"/>
                <w:noProof/>
              </w:rPr>
              <w:t xml:space="preserve">The themes or categories should entail a large proportion of the data or codes; the themes or categories are not merely derived from a few striking examples or codes.  Indeed, researchers should conduct negative case analysis—in which they seek data or code that do not match the existing themes or categories. They could then refine the themes or categories accordingly.  </w:t>
            </w:r>
          </w:p>
        </w:tc>
        <w:tc>
          <w:tcPr>
            <w:tcW w:w="3543" w:type="dxa"/>
            <w:shd w:val="clear" w:color="auto" w:fill="D9D9D9" w:themeFill="background1" w:themeFillShade="D9"/>
          </w:tcPr>
          <w:p w14:paraId="5C84152A" w14:textId="77777777" w:rsidR="00DB3574" w:rsidRPr="00DB3574" w:rsidRDefault="00DB3574" w:rsidP="005E27FA">
            <w:pPr>
              <w:pStyle w:val="ListParagraph"/>
              <w:numPr>
                <w:ilvl w:val="0"/>
                <w:numId w:val="35"/>
              </w:numPr>
              <w:spacing w:before="0" w:after="0" w:line="276" w:lineRule="auto"/>
              <w:rPr>
                <w:rFonts w:cstheme="majorHAnsi"/>
              </w:rPr>
            </w:pPr>
            <w:r w:rsidRPr="00DB3574">
              <w:rPr>
                <w:rFonts w:cstheme="majorHAnsi"/>
              </w:rPr>
              <w:t>See Braun &amp; Clarke (2006), Table 2, Item 3</w:t>
            </w:r>
          </w:p>
          <w:p w14:paraId="522CE5CA" w14:textId="77777777" w:rsidR="00DB3574" w:rsidRPr="00DB3574" w:rsidRDefault="00DB3574" w:rsidP="005E27FA">
            <w:pPr>
              <w:pStyle w:val="ListParagraph"/>
              <w:numPr>
                <w:ilvl w:val="0"/>
                <w:numId w:val="35"/>
              </w:numPr>
              <w:spacing w:before="0" w:after="0" w:line="276" w:lineRule="auto"/>
              <w:rPr>
                <w:rFonts w:cstheme="majorHAnsi"/>
              </w:rPr>
            </w:pPr>
            <w:r w:rsidRPr="00DB3574">
              <w:rPr>
                <w:rFonts w:cstheme="majorHAnsi"/>
              </w:rPr>
              <w:t>Cite Miles &amp; Huberman, (1994)</w:t>
            </w:r>
          </w:p>
        </w:tc>
      </w:tr>
      <w:tr w:rsidR="00DB3574" w:rsidRPr="00DB3574" w14:paraId="71404392" w14:textId="77777777" w:rsidTr="00DB3574">
        <w:trPr>
          <w:trHeight w:val="369"/>
        </w:trPr>
        <w:tc>
          <w:tcPr>
            <w:tcW w:w="1701" w:type="dxa"/>
            <w:shd w:val="clear" w:color="auto" w:fill="D9D9D9" w:themeFill="background1" w:themeFillShade="D9"/>
          </w:tcPr>
          <w:p w14:paraId="693C8340" w14:textId="77777777" w:rsidR="00DB3574" w:rsidRPr="00DB3574" w:rsidRDefault="00DB3574" w:rsidP="005E27FA">
            <w:pPr>
              <w:spacing w:line="276" w:lineRule="auto"/>
              <w:rPr>
                <w:rFonts w:cstheme="majorHAnsi"/>
                <w:noProof/>
              </w:rPr>
            </w:pPr>
            <w:r w:rsidRPr="00DB3574">
              <w:rPr>
                <w:rFonts w:cstheme="majorHAnsi"/>
                <w:noProof/>
              </w:rPr>
              <w:t>Multiple researchers</w:t>
            </w:r>
          </w:p>
        </w:tc>
        <w:tc>
          <w:tcPr>
            <w:tcW w:w="4253" w:type="dxa"/>
            <w:shd w:val="clear" w:color="auto" w:fill="D9D9D9" w:themeFill="background1" w:themeFillShade="D9"/>
          </w:tcPr>
          <w:p w14:paraId="518427DC" w14:textId="77777777" w:rsidR="00DB3574" w:rsidRPr="00DB3574" w:rsidRDefault="00DB3574" w:rsidP="005E27FA">
            <w:pPr>
              <w:spacing w:line="276" w:lineRule="auto"/>
              <w:rPr>
                <w:rFonts w:cstheme="majorHAnsi"/>
                <w:noProof/>
              </w:rPr>
            </w:pPr>
            <w:r w:rsidRPr="00DB3574">
              <w:rPr>
                <w:rFonts w:cstheme="majorHAnsi"/>
                <w:noProof/>
              </w:rPr>
              <w:t xml:space="preserve">More than one researcher can participate in coding and translating codes to themes, categories, or conclusions.  </w:t>
            </w:r>
          </w:p>
        </w:tc>
        <w:tc>
          <w:tcPr>
            <w:tcW w:w="3543" w:type="dxa"/>
            <w:shd w:val="clear" w:color="auto" w:fill="D9D9D9" w:themeFill="background1" w:themeFillShade="D9"/>
          </w:tcPr>
          <w:p w14:paraId="55F9F531" w14:textId="77777777" w:rsidR="00DB3574" w:rsidRPr="00DB3574" w:rsidRDefault="00DB3574" w:rsidP="005E27FA">
            <w:pPr>
              <w:pStyle w:val="ListParagraph"/>
              <w:numPr>
                <w:ilvl w:val="0"/>
                <w:numId w:val="35"/>
              </w:numPr>
              <w:spacing w:before="0" w:after="0" w:line="276" w:lineRule="auto"/>
              <w:rPr>
                <w:rFonts w:cstheme="majorHAnsi"/>
              </w:rPr>
            </w:pPr>
          </w:p>
        </w:tc>
      </w:tr>
    </w:tbl>
    <w:p w14:paraId="0A8926A2" w14:textId="77777777" w:rsidR="00DB3574" w:rsidRPr="00DB3574" w:rsidRDefault="00DB3574" w:rsidP="005E27FA">
      <w:pPr>
        <w:spacing w:line="276" w:lineRule="auto"/>
        <w:rPr>
          <w:rFonts w:cstheme="majorHAnsi"/>
          <w:b/>
          <w:noProof/>
          <w:szCs w:val="22"/>
        </w:rPr>
      </w:pPr>
    </w:p>
    <w:p w14:paraId="4A9BC422" w14:textId="77777777" w:rsidR="00DB3574" w:rsidRPr="00DB3574" w:rsidRDefault="00DB3574" w:rsidP="005E27FA">
      <w:pPr>
        <w:spacing w:line="276" w:lineRule="auto"/>
        <w:ind w:left="1985"/>
        <w:rPr>
          <w:rFonts w:cstheme="majorHAnsi"/>
          <w:b/>
          <w:noProof/>
          <w:szCs w:val="22"/>
        </w:rPr>
      </w:pPr>
    </w:p>
    <w:p w14:paraId="54C0176E" w14:textId="77777777" w:rsidR="00DB3574" w:rsidRPr="00DB3574" w:rsidRDefault="00DB3574" w:rsidP="005E27FA">
      <w:pPr>
        <w:spacing w:line="276" w:lineRule="auto"/>
        <w:ind w:left="1985"/>
        <w:rPr>
          <w:rFonts w:cstheme="majorHAnsi"/>
          <w:b/>
          <w:noProof/>
          <w:szCs w:val="22"/>
        </w:rPr>
      </w:pPr>
    </w:p>
    <w:p w14:paraId="137F6C57" w14:textId="77777777" w:rsidR="005E27FA" w:rsidRDefault="005E27FA" w:rsidP="005E27FA">
      <w:pPr>
        <w:spacing w:line="276" w:lineRule="auto"/>
        <w:rPr>
          <w:rFonts w:cstheme="majorHAnsi"/>
          <w:b/>
          <w:noProof/>
          <w:szCs w:val="22"/>
        </w:rPr>
      </w:pPr>
    </w:p>
    <w:p w14:paraId="39FA9AEA" w14:textId="77777777" w:rsidR="005E27FA" w:rsidRDefault="005E27FA" w:rsidP="005E27FA">
      <w:pPr>
        <w:spacing w:line="276" w:lineRule="auto"/>
        <w:rPr>
          <w:rFonts w:cstheme="majorHAnsi"/>
          <w:b/>
          <w:noProof/>
          <w:szCs w:val="22"/>
        </w:rPr>
      </w:pPr>
    </w:p>
    <w:p w14:paraId="08811A1A" w14:textId="77777777" w:rsidR="005E27FA" w:rsidRDefault="005E27FA" w:rsidP="005E27FA">
      <w:pPr>
        <w:spacing w:line="276" w:lineRule="auto"/>
        <w:rPr>
          <w:rFonts w:cstheme="majorHAnsi"/>
          <w:b/>
          <w:noProof/>
          <w:szCs w:val="22"/>
        </w:rPr>
      </w:pPr>
    </w:p>
    <w:p w14:paraId="684FB0F3" w14:textId="5E15E1B7" w:rsidR="00DB3574" w:rsidRPr="00DB3574" w:rsidRDefault="00DB3574" w:rsidP="005E27FA">
      <w:pPr>
        <w:spacing w:line="276" w:lineRule="auto"/>
        <w:rPr>
          <w:rFonts w:cstheme="majorHAnsi"/>
          <w:b/>
          <w:noProof/>
          <w:szCs w:val="22"/>
        </w:rPr>
      </w:pPr>
      <w:r w:rsidRPr="00DB3574">
        <w:rPr>
          <w:rFonts w:cstheme="majorHAnsi"/>
          <w:b/>
          <w:noProof/>
          <w:szCs w:val="22"/>
        </w:rPr>
        <w:lastRenderedPageBreak/>
        <w:t>Project management</w:t>
      </w:r>
    </w:p>
    <w:p w14:paraId="544439E3" w14:textId="77777777" w:rsidR="00DB3574" w:rsidRPr="00DB3574" w:rsidRDefault="00DB3574" w:rsidP="005E27FA">
      <w:pPr>
        <w:spacing w:line="276" w:lineRule="auto"/>
        <w:ind w:left="1985"/>
        <w:rPr>
          <w:rFonts w:cstheme="majorHAnsi"/>
          <w:b/>
          <w:noProof/>
          <w:szCs w:val="22"/>
        </w:rPr>
      </w:pPr>
    </w:p>
    <w:p w14:paraId="586D8A9C" w14:textId="4D32B336" w:rsidR="00DB3574" w:rsidRPr="00DB3574" w:rsidRDefault="00DB3574" w:rsidP="005E27FA">
      <w:pPr>
        <w:spacing w:line="276" w:lineRule="auto"/>
        <w:ind w:firstLine="720"/>
        <w:rPr>
          <w:rFonts w:cstheme="majorHAnsi"/>
          <w:noProof/>
          <w:szCs w:val="22"/>
        </w:rPr>
      </w:pPr>
      <w:r w:rsidRPr="00DB3574">
        <w:rPr>
          <w:rFonts w:cstheme="majorHAnsi"/>
          <w:noProof/>
          <w:szCs w:val="22"/>
        </w:rPr>
        <w:t xml:space="preserve">The third set of techniques and practices tend to revolve around the management of these projects, including preparation, recruitment, and evaluation of the procedures. </w:t>
      </w:r>
    </w:p>
    <w:p w14:paraId="7D6B7802" w14:textId="77777777" w:rsidR="00DB3574" w:rsidRPr="00DB3574" w:rsidRDefault="00DB3574" w:rsidP="005E27FA">
      <w:pPr>
        <w:spacing w:line="276" w:lineRule="auto"/>
        <w:ind w:left="1985"/>
        <w:rPr>
          <w:rFonts w:cstheme="majorHAnsi"/>
          <w:b/>
          <w:noProof/>
          <w:szCs w:val="22"/>
        </w:rPr>
      </w:pPr>
    </w:p>
    <w:tbl>
      <w:tblPr>
        <w:tblStyle w:val="TableGrid"/>
        <w:tblW w:w="9639" w:type="dxa"/>
        <w:tblInd w:w="-3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843"/>
        <w:gridCol w:w="4253"/>
        <w:gridCol w:w="3543"/>
      </w:tblGrid>
      <w:tr w:rsidR="00DB3574" w:rsidRPr="00DB3574" w14:paraId="43A10926" w14:textId="77777777" w:rsidTr="00DB3574">
        <w:trPr>
          <w:trHeight w:val="355"/>
        </w:trPr>
        <w:tc>
          <w:tcPr>
            <w:tcW w:w="1843" w:type="dxa"/>
            <w:shd w:val="clear" w:color="auto" w:fill="C6EBD6" w:themeFill="accent5" w:themeFillTint="66"/>
          </w:tcPr>
          <w:p w14:paraId="1EE7CFCD" w14:textId="77777777" w:rsidR="00DB3574" w:rsidRPr="00DB3574" w:rsidRDefault="00DB3574" w:rsidP="005E27FA">
            <w:pPr>
              <w:spacing w:line="276" w:lineRule="auto"/>
              <w:jc w:val="center"/>
              <w:rPr>
                <w:rFonts w:cstheme="majorHAnsi"/>
                <w:b/>
                <w:lang w:val="en-AU"/>
              </w:rPr>
            </w:pPr>
            <w:r w:rsidRPr="00DB3574">
              <w:rPr>
                <w:rFonts w:cstheme="majorHAnsi"/>
              </w:rPr>
              <w:t>Practice or criterion</w:t>
            </w:r>
          </w:p>
        </w:tc>
        <w:tc>
          <w:tcPr>
            <w:tcW w:w="4253" w:type="dxa"/>
            <w:shd w:val="clear" w:color="auto" w:fill="C6EBD6" w:themeFill="accent5" w:themeFillTint="66"/>
          </w:tcPr>
          <w:p w14:paraId="3E1BB4AE" w14:textId="77777777" w:rsidR="00DB3574" w:rsidRPr="00DB3574" w:rsidRDefault="00DB3574" w:rsidP="005E27FA">
            <w:pPr>
              <w:spacing w:line="276" w:lineRule="auto"/>
              <w:jc w:val="center"/>
              <w:rPr>
                <w:rFonts w:cstheme="majorHAnsi"/>
              </w:rPr>
            </w:pPr>
            <w:r w:rsidRPr="00DB3574">
              <w:rPr>
                <w:rFonts w:cstheme="majorHAnsi"/>
              </w:rPr>
              <w:t>Description</w:t>
            </w:r>
          </w:p>
        </w:tc>
        <w:tc>
          <w:tcPr>
            <w:tcW w:w="3543" w:type="dxa"/>
            <w:shd w:val="clear" w:color="auto" w:fill="C6EBD6" w:themeFill="accent5" w:themeFillTint="66"/>
          </w:tcPr>
          <w:p w14:paraId="47EF3C72" w14:textId="77777777" w:rsidR="00DB3574" w:rsidRPr="00DB3574" w:rsidRDefault="00DB3574" w:rsidP="005E27FA">
            <w:pPr>
              <w:spacing w:line="276" w:lineRule="auto"/>
              <w:jc w:val="center"/>
              <w:rPr>
                <w:rFonts w:cstheme="majorHAnsi"/>
              </w:rPr>
            </w:pPr>
            <w:r w:rsidRPr="00DB3574">
              <w:rPr>
                <w:rFonts w:cstheme="majorHAnsi"/>
              </w:rPr>
              <w:t xml:space="preserve">Caveats, references, </w:t>
            </w:r>
          </w:p>
          <w:p w14:paraId="3FEEB4F6" w14:textId="77777777" w:rsidR="00DB3574" w:rsidRPr="00DB3574" w:rsidRDefault="00DB3574" w:rsidP="005E27FA">
            <w:pPr>
              <w:spacing w:line="276" w:lineRule="auto"/>
              <w:jc w:val="center"/>
              <w:rPr>
                <w:rFonts w:cstheme="majorHAnsi"/>
              </w:rPr>
            </w:pPr>
            <w:r w:rsidRPr="00DB3574">
              <w:rPr>
                <w:rFonts w:cstheme="majorHAnsi"/>
              </w:rPr>
              <w:t>and other details</w:t>
            </w:r>
          </w:p>
        </w:tc>
      </w:tr>
      <w:tr w:rsidR="00DB3574" w:rsidRPr="00DB3574" w14:paraId="187E521B" w14:textId="77777777" w:rsidTr="00DB3574">
        <w:trPr>
          <w:trHeight w:val="369"/>
        </w:trPr>
        <w:tc>
          <w:tcPr>
            <w:tcW w:w="1843" w:type="dxa"/>
            <w:shd w:val="clear" w:color="auto" w:fill="D9D9D9" w:themeFill="background1" w:themeFillShade="D9"/>
          </w:tcPr>
          <w:p w14:paraId="13E8D119" w14:textId="77777777" w:rsidR="00DB3574" w:rsidRPr="00DB3574" w:rsidRDefault="00DB3574" w:rsidP="005E27FA">
            <w:pPr>
              <w:spacing w:line="276" w:lineRule="auto"/>
              <w:rPr>
                <w:rFonts w:cstheme="majorHAnsi"/>
              </w:rPr>
            </w:pPr>
            <w:r w:rsidRPr="00DB3574">
              <w:rPr>
                <w:rFonts w:cstheme="majorHAnsi"/>
                <w:noProof/>
              </w:rPr>
              <w:t>Audit trail</w:t>
            </w:r>
          </w:p>
        </w:tc>
        <w:tc>
          <w:tcPr>
            <w:tcW w:w="4253" w:type="dxa"/>
            <w:shd w:val="clear" w:color="auto" w:fill="D9D9D9" w:themeFill="background1" w:themeFillShade="D9"/>
          </w:tcPr>
          <w:p w14:paraId="65AA5AD6" w14:textId="77777777" w:rsidR="00DB3574" w:rsidRPr="00DB3574" w:rsidRDefault="00DB3574" w:rsidP="005E27FA">
            <w:pPr>
              <w:spacing w:line="276" w:lineRule="auto"/>
              <w:rPr>
                <w:rFonts w:cstheme="majorHAnsi"/>
                <w:noProof/>
              </w:rPr>
            </w:pPr>
            <w:r w:rsidRPr="00DB3574">
              <w:rPr>
                <w:rFonts w:cstheme="majorHAnsi"/>
                <w:noProof/>
              </w:rPr>
              <w:t>Construct an account that summarizes all the decisions the researchers reached and the activities they conducted during the study.  This audit trail should include</w:t>
            </w:r>
          </w:p>
          <w:p w14:paraId="536BAAC5" w14:textId="77777777" w:rsidR="00DB3574" w:rsidRPr="00DB3574" w:rsidRDefault="00DB3574" w:rsidP="005E27FA">
            <w:pPr>
              <w:spacing w:line="276" w:lineRule="auto"/>
              <w:rPr>
                <w:rFonts w:cstheme="majorHAnsi"/>
                <w:noProof/>
              </w:rPr>
            </w:pPr>
          </w:p>
          <w:p w14:paraId="6483180A" w14:textId="77777777" w:rsidR="00DB3574" w:rsidRPr="00DB3574" w:rsidRDefault="00DB3574" w:rsidP="005E27FA">
            <w:pPr>
              <w:pStyle w:val="ListParagraph"/>
              <w:numPr>
                <w:ilvl w:val="0"/>
                <w:numId w:val="32"/>
              </w:numPr>
              <w:spacing w:before="0" w:after="0" w:line="276" w:lineRule="auto"/>
              <w:rPr>
                <w:rFonts w:cstheme="majorHAnsi"/>
              </w:rPr>
            </w:pPr>
            <w:r w:rsidRPr="00DB3574">
              <w:rPr>
                <w:rFonts w:cstheme="majorHAnsi"/>
              </w:rPr>
              <w:t>all raw data that were collected</w:t>
            </w:r>
          </w:p>
          <w:p w14:paraId="143E149F" w14:textId="77777777" w:rsidR="00DB3574" w:rsidRPr="00DB3574" w:rsidRDefault="00DB3574" w:rsidP="005E27FA">
            <w:pPr>
              <w:pStyle w:val="ListParagraph"/>
              <w:numPr>
                <w:ilvl w:val="0"/>
                <w:numId w:val="32"/>
              </w:numPr>
              <w:spacing w:before="0" w:after="0" w:line="276" w:lineRule="auto"/>
              <w:rPr>
                <w:rFonts w:cstheme="majorHAnsi"/>
              </w:rPr>
            </w:pPr>
            <w:r w:rsidRPr="00DB3574">
              <w:rPr>
                <w:rFonts w:cstheme="majorHAnsi"/>
              </w:rPr>
              <w:t>memos that summarize decisions while converting the data into codes, themes, or categories</w:t>
            </w:r>
          </w:p>
          <w:p w14:paraId="2CA9DB33" w14:textId="77777777" w:rsidR="00DB3574" w:rsidRPr="00DB3574" w:rsidRDefault="00DB3574" w:rsidP="005E27FA">
            <w:pPr>
              <w:pStyle w:val="ListParagraph"/>
              <w:numPr>
                <w:ilvl w:val="0"/>
                <w:numId w:val="32"/>
              </w:numPr>
              <w:spacing w:before="0" w:after="0" w:line="276" w:lineRule="auto"/>
              <w:rPr>
                <w:rFonts w:cstheme="majorHAnsi"/>
              </w:rPr>
            </w:pPr>
            <w:r w:rsidRPr="00DB3574">
              <w:rPr>
                <w:rFonts w:cstheme="majorHAnsi"/>
              </w:rPr>
              <w:t>memos that summarize how the researchers refined and integrated themes or categories</w:t>
            </w:r>
          </w:p>
          <w:p w14:paraId="0B4AF94A" w14:textId="77777777" w:rsidR="00DB3574" w:rsidRPr="00DB3574" w:rsidRDefault="00DB3574" w:rsidP="005E27FA">
            <w:pPr>
              <w:pStyle w:val="ListParagraph"/>
              <w:numPr>
                <w:ilvl w:val="0"/>
                <w:numId w:val="32"/>
              </w:numPr>
              <w:spacing w:before="0" w:after="0" w:line="276" w:lineRule="auto"/>
              <w:rPr>
                <w:rFonts w:cstheme="majorHAnsi"/>
              </w:rPr>
            </w:pPr>
            <w:r w:rsidRPr="00DB3574">
              <w:rPr>
                <w:rFonts w:cstheme="majorHAnsi"/>
              </w:rPr>
              <w:t>research journals that outline the processes the researchers followed, such as who they contacted</w:t>
            </w:r>
          </w:p>
          <w:p w14:paraId="564A437B" w14:textId="77777777" w:rsidR="00DB3574" w:rsidRPr="00DB3574" w:rsidRDefault="00DB3574" w:rsidP="005E27FA">
            <w:pPr>
              <w:pStyle w:val="ListParagraph"/>
              <w:numPr>
                <w:ilvl w:val="0"/>
                <w:numId w:val="32"/>
              </w:numPr>
              <w:spacing w:before="0" w:after="0" w:line="276" w:lineRule="auto"/>
              <w:rPr>
                <w:rFonts w:cstheme="majorHAnsi"/>
              </w:rPr>
            </w:pPr>
            <w:r w:rsidRPr="00DB3574">
              <w:rPr>
                <w:rFonts w:cstheme="majorHAnsi"/>
              </w:rPr>
              <w:t>research journals that outline personal thoughts, reflections, or insights about the project</w:t>
            </w:r>
          </w:p>
          <w:p w14:paraId="7A0B96FA" w14:textId="77777777" w:rsidR="00DB3574" w:rsidRPr="00DB3574" w:rsidRDefault="00DB3574" w:rsidP="005E27FA">
            <w:pPr>
              <w:spacing w:line="276" w:lineRule="auto"/>
              <w:rPr>
                <w:rFonts w:cstheme="majorHAnsi"/>
              </w:rPr>
            </w:pPr>
          </w:p>
          <w:p w14:paraId="29ABF819" w14:textId="77777777" w:rsidR="00DB3574" w:rsidRPr="00DB3574" w:rsidRDefault="00DB3574" w:rsidP="005E27FA">
            <w:pPr>
              <w:spacing w:line="276" w:lineRule="auto"/>
              <w:rPr>
                <w:rFonts w:cstheme="majorHAnsi"/>
              </w:rPr>
            </w:pPr>
            <w:r w:rsidRPr="00DB3574">
              <w:rPr>
                <w:rFonts w:cstheme="majorHAnsi"/>
              </w:rPr>
              <w:t>Monitoring changes in the perspectives of researchers over time is called progressive subjectivity</w:t>
            </w:r>
          </w:p>
        </w:tc>
        <w:tc>
          <w:tcPr>
            <w:tcW w:w="3543" w:type="dxa"/>
            <w:shd w:val="clear" w:color="auto" w:fill="D9D9D9" w:themeFill="background1" w:themeFillShade="D9"/>
          </w:tcPr>
          <w:p w14:paraId="4559938D" w14:textId="77777777" w:rsidR="00DB3574" w:rsidRPr="00DB3574" w:rsidRDefault="00DB3574" w:rsidP="005E27FA">
            <w:pPr>
              <w:spacing w:line="276" w:lineRule="auto"/>
              <w:rPr>
                <w:rFonts w:cstheme="majorHAnsi"/>
              </w:rPr>
            </w:pPr>
            <w:r w:rsidRPr="00DB3574">
              <w:rPr>
                <w:rFonts w:cstheme="majorHAnsi"/>
              </w:rPr>
              <w:t xml:space="preserve">Cite </w:t>
            </w:r>
            <w:proofErr w:type="spellStart"/>
            <w:r w:rsidRPr="00DB3574">
              <w:rPr>
                <w:rFonts w:cstheme="majorHAnsi"/>
              </w:rPr>
              <w:t>Akkerman</w:t>
            </w:r>
            <w:proofErr w:type="spellEnd"/>
            <w:r w:rsidRPr="00DB3574">
              <w:rPr>
                <w:rFonts w:cstheme="majorHAnsi"/>
              </w:rPr>
              <w:t xml:space="preserve"> et al (2006); </w:t>
            </w:r>
            <w:proofErr w:type="spellStart"/>
            <w:r w:rsidRPr="00DB3574">
              <w:rPr>
                <w:rFonts w:cstheme="majorHAnsi"/>
              </w:rPr>
              <w:t>Hoepfl</w:t>
            </w:r>
            <w:proofErr w:type="spellEnd"/>
            <w:r w:rsidRPr="00DB3574">
              <w:rPr>
                <w:rFonts w:cstheme="majorHAnsi"/>
              </w:rPr>
              <w:t xml:space="preserve"> (1997); Koch (2006).  Audit trails were inspired by the work of Lincoln and Guba (1985)</w:t>
            </w:r>
          </w:p>
        </w:tc>
      </w:tr>
      <w:tr w:rsidR="00DB3574" w:rsidRPr="00DB3574" w14:paraId="3F239C2A" w14:textId="77777777" w:rsidTr="00DB3574">
        <w:trPr>
          <w:trHeight w:val="369"/>
        </w:trPr>
        <w:tc>
          <w:tcPr>
            <w:tcW w:w="1843" w:type="dxa"/>
            <w:shd w:val="clear" w:color="auto" w:fill="D9D9D9" w:themeFill="background1" w:themeFillShade="D9"/>
          </w:tcPr>
          <w:p w14:paraId="41208D08" w14:textId="77777777" w:rsidR="00DB3574" w:rsidRPr="00DB3574" w:rsidRDefault="00DB3574" w:rsidP="005E27FA">
            <w:pPr>
              <w:spacing w:line="276" w:lineRule="auto"/>
              <w:rPr>
                <w:rFonts w:cstheme="majorHAnsi"/>
                <w:noProof/>
              </w:rPr>
            </w:pPr>
            <w:r w:rsidRPr="00DB3574">
              <w:rPr>
                <w:rFonts w:cstheme="majorHAnsi"/>
                <w:noProof/>
              </w:rPr>
              <w:t>Reflexivity or positionality statements</w:t>
            </w:r>
          </w:p>
        </w:tc>
        <w:tc>
          <w:tcPr>
            <w:tcW w:w="4253" w:type="dxa"/>
            <w:shd w:val="clear" w:color="auto" w:fill="D9D9D9" w:themeFill="background1" w:themeFillShade="D9"/>
          </w:tcPr>
          <w:p w14:paraId="18CF40BA" w14:textId="77777777" w:rsidR="00DB3574" w:rsidRPr="00DB3574" w:rsidRDefault="00DB3574" w:rsidP="005E27FA">
            <w:pPr>
              <w:spacing w:line="276" w:lineRule="auto"/>
              <w:rPr>
                <w:rFonts w:cstheme="majorHAnsi"/>
                <w:noProof/>
              </w:rPr>
            </w:pPr>
            <w:r w:rsidRPr="00DB3574">
              <w:rPr>
                <w:rFonts w:cstheme="majorHAnsi"/>
                <w:noProof/>
              </w:rPr>
              <w:t xml:space="preserve">Many researchers write a reflexivity statement in which they describe how their life history and experiences shaped their interests and perspective of this phenomenon.  This reflexivity statement does not usually outline their beliefs about the phenomenon, but instead includes events in their life, such as cultural dynamics, personal challenges, helpful endeavors, and professional associates that ignited their pursuit of this topic.  These reflexivity statements enable readers to assess whether or not the conclusions of this research are biased by the past experiences of the </w:t>
            </w:r>
            <w:r w:rsidRPr="00DB3574">
              <w:rPr>
                <w:rFonts w:cstheme="majorHAnsi"/>
                <w:noProof/>
              </w:rPr>
              <w:lastRenderedPageBreak/>
              <w:t xml:space="preserve">researcher (Merriman, 2009) but can also facilitate epoche as well—the capacity of researchers to diminish the effect of their preconceptions and experiences on analysis and interpretation.   </w:t>
            </w:r>
          </w:p>
        </w:tc>
        <w:tc>
          <w:tcPr>
            <w:tcW w:w="3543" w:type="dxa"/>
            <w:shd w:val="clear" w:color="auto" w:fill="D9D9D9" w:themeFill="background1" w:themeFillShade="D9"/>
          </w:tcPr>
          <w:p w14:paraId="61F2EAB9" w14:textId="77777777" w:rsidR="00DB3574" w:rsidRPr="00DB3574" w:rsidRDefault="00DB3574" w:rsidP="005E27FA">
            <w:pPr>
              <w:pStyle w:val="ListParagraph"/>
              <w:numPr>
                <w:ilvl w:val="0"/>
                <w:numId w:val="35"/>
              </w:numPr>
              <w:spacing w:before="0" w:after="0" w:line="276" w:lineRule="auto"/>
              <w:rPr>
                <w:rFonts w:cstheme="majorHAnsi"/>
              </w:rPr>
            </w:pPr>
            <w:r w:rsidRPr="00DB3574">
              <w:rPr>
                <w:rFonts w:cstheme="majorHAnsi"/>
              </w:rPr>
              <w:lastRenderedPageBreak/>
              <w:t>Cite Merriman (2009)</w:t>
            </w:r>
          </w:p>
        </w:tc>
      </w:tr>
      <w:tr w:rsidR="00DB3574" w:rsidRPr="00DB3574" w14:paraId="46AE0BB9" w14:textId="77777777" w:rsidTr="00DB3574">
        <w:trPr>
          <w:trHeight w:val="369"/>
        </w:trPr>
        <w:tc>
          <w:tcPr>
            <w:tcW w:w="1843" w:type="dxa"/>
            <w:shd w:val="clear" w:color="auto" w:fill="D9D9D9" w:themeFill="background1" w:themeFillShade="D9"/>
          </w:tcPr>
          <w:p w14:paraId="542AD2BF" w14:textId="77777777" w:rsidR="00DB3574" w:rsidRPr="00DB3574" w:rsidRDefault="00DB3574" w:rsidP="005E27FA">
            <w:pPr>
              <w:spacing w:line="276" w:lineRule="auto"/>
              <w:rPr>
                <w:rFonts w:cstheme="majorHAnsi"/>
                <w:noProof/>
              </w:rPr>
            </w:pPr>
            <w:r w:rsidRPr="00DB3574">
              <w:rPr>
                <w:rFonts w:cstheme="majorHAnsi"/>
                <w:noProof/>
              </w:rPr>
              <w:t>Bracketing and epoche</w:t>
            </w:r>
          </w:p>
        </w:tc>
        <w:tc>
          <w:tcPr>
            <w:tcW w:w="4253" w:type="dxa"/>
            <w:shd w:val="clear" w:color="auto" w:fill="D9D9D9" w:themeFill="background1" w:themeFillShade="D9"/>
          </w:tcPr>
          <w:p w14:paraId="09E3BAEA" w14:textId="77777777" w:rsidR="00DB3574" w:rsidRPr="00DB3574" w:rsidRDefault="00DB3574" w:rsidP="005E27FA">
            <w:pPr>
              <w:spacing w:line="276" w:lineRule="auto"/>
              <w:rPr>
                <w:rFonts w:cstheme="majorHAnsi"/>
                <w:noProof/>
              </w:rPr>
            </w:pPr>
            <w:r w:rsidRPr="00DB3574">
              <w:rPr>
                <w:rFonts w:cstheme="majorHAnsi"/>
                <w:noProof/>
              </w:rPr>
              <w:t xml:space="preserve">Before conducting interviews and analyzing data, researchers could undertake a process called epoche—a Greek word to indicate restraint from judgment.  Epoche represents the attempt of researchers to contemplate, and then to set aside or bracket, their preconceptions or previous knowledge about the phenomenon (see also Rolls &amp; Relf, 2006; Starks &amp; Trinidad, 2007; Tufford &amp; Newman, 2012).  Typically, the researchers </w:t>
            </w:r>
          </w:p>
          <w:p w14:paraId="0086481A" w14:textId="77777777" w:rsidR="00DB3574" w:rsidRPr="00DB3574" w:rsidRDefault="00DB3574" w:rsidP="005E27FA">
            <w:pPr>
              <w:spacing w:line="276" w:lineRule="auto"/>
              <w:rPr>
                <w:rFonts w:cstheme="majorHAnsi"/>
                <w:noProof/>
              </w:rPr>
            </w:pPr>
          </w:p>
          <w:p w14:paraId="3A88BD8D" w14:textId="77777777" w:rsidR="00DB3574" w:rsidRPr="00DB3574" w:rsidRDefault="00DB3574" w:rsidP="005E27FA">
            <w:pPr>
              <w:pStyle w:val="ListParagraph"/>
              <w:numPr>
                <w:ilvl w:val="0"/>
                <w:numId w:val="39"/>
              </w:numPr>
              <w:spacing w:before="0" w:after="0" w:line="276" w:lineRule="auto"/>
              <w:rPr>
                <w:rFonts w:cstheme="majorHAnsi"/>
                <w:noProof/>
              </w:rPr>
            </w:pPr>
            <w:r w:rsidRPr="00DB3574">
              <w:rPr>
                <w:rFonts w:cstheme="majorHAnsi"/>
                <w:noProof/>
              </w:rPr>
              <w:t>first transcribe all their knowledge about the phenomenon, including their experiences, beliefs, attitudes, and values as well as their power or role in this research—entries that gradually accumulate over time.  These entries are sometimes collectively labelled a reflexive journal.</w:t>
            </w:r>
          </w:p>
          <w:p w14:paraId="2ADC953B" w14:textId="77777777" w:rsidR="00DB3574" w:rsidRPr="00DB3574" w:rsidRDefault="00DB3574" w:rsidP="005E27FA">
            <w:pPr>
              <w:pStyle w:val="ListParagraph"/>
              <w:numPr>
                <w:ilvl w:val="0"/>
                <w:numId w:val="39"/>
              </w:numPr>
              <w:spacing w:before="0" w:after="0" w:line="276" w:lineRule="auto"/>
              <w:rPr>
                <w:rFonts w:cstheme="majorHAnsi"/>
                <w:noProof/>
              </w:rPr>
            </w:pPr>
            <w:r w:rsidRPr="00DB3574">
              <w:rPr>
                <w:rFonts w:cstheme="majorHAnsi"/>
                <w:noProof/>
              </w:rPr>
              <w:t xml:space="preserve">Once they reach a point of saturation, in which no additional knowledge can be transcribed, they subject these entries to systematic analysis.  They may, for example, distinguish units of meaning, allocate these units of meaning into codes and then themes, and finally construct a cohesive description of their understanding.  </w:t>
            </w:r>
          </w:p>
          <w:p w14:paraId="6B55B08D" w14:textId="77777777" w:rsidR="00DB3574" w:rsidRPr="00DB3574" w:rsidRDefault="00DB3574" w:rsidP="005E27FA">
            <w:pPr>
              <w:pStyle w:val="ListParagraph"/>
              <w:numPr>
                <w:ilvl w:val="0"/>
                <w:numId w:val="39"/>
              </w:numPr>
              <w:spacing w:before="0" w:after="0" w:line="276" w:lineRule="auto"/>
              <w:rPr>
                <w:rFonts w:cstheme="majorHAnsi"/>
                <w:noProof/>
              </w:rPr>
            </w:pPr>
            <w:r w:rsidRPr="00DB3574">
              <w:rPr>
                <w:rFonts w:cstheme="majorHAnsi"/>
                <w:noProof/>
              </w:rPr>
              <w:t xml:space="preserve">Finally, while designing their research, collecting data, and analyzing data, researchers deliberately attempt to set this understanding aside.  That is, they attempt to foster an open mind to the perspectives of participants.       </w:t>
            </w:r>
          </w:p>
        </w:tc>
        <w:tc>
          <w:tcPr>
            <w:tcW w:w="3543" w:type="dxa"/>
            <w:shd w:val="clear" w:color="auto" w:fill="D9D9D9" w:themeFill="background1" w:themeFillShade="D9"/>
          </w:tcPr>
          <w:p w14:paraId="5163134C" w14:textId="77777777" w:rsidR="00DB3574" w:rsidRPr="00DB3574" w:rsidRDefault="00DB3574" w:rsidP="005E27FA">
            <w:pPr>
              <w:pStyle w:val="ListParagraph"/>
              <w:numPr>
                <w:ilvl w:val="0"/>
                <w:numId w:val="35"/>
              </w:numPr>
              <w:spacing w:before="0" w:after="0" w:line="276" w:lineRule="auto"/>
              <w:rPr>
                <w:rFonts w:cstheme="majorHAnsi"/>
              </w:rPr>
            </w:pPr>
            <w:r w:rsidRPr="00DB3574">
              <w:rPr>
                <w:rFonts w:cstheme="majorHAnsi"/>
                <w:noProof/>
              </w:rPr>
              <w:t>Giorgi (2009); Moustakas (1994); more applicable to phenomenology</w:t>
            </w:r>
          </w:p>
          <w:p w14:paraId="60E83109" w14:textId="77777777" w:rsidR="00DB3574" w:rsidRPr="00DB3574" w:rsidRDefault="00DB3574" w:rsidP="005E27FA">
            <w:pPr>
              <w:pStyle w:val="ListParagraph"/>
              <w:numPr>
                <w:ilvl w:val="0"/>
                <w:numId w:val="35"/>
              </w:numPr>
              <w:spacing w:before="0" w:after="0" w:line="276" w:lineRule="auto"/>
              <w:rPr>
                <w:rFonts w:cstheme="majorHAnsi"/>
              </w:rPr>
            </w:pPr>
            <w:r w:rsidRPr="00DB3574">
              <w:rPr>
                <w:rFonts w:cstheme="majorHAnsi"/>
                <w:noProof/>
              </w:rPr>
              <w:t>Some researchers, such as constructivist grounded theorists, believe that such bracketing is not possible  to achieve effectively</w:t>
            </w:r>
          </w:p>
        </w:tc>
      </w:tr>
      <w:tr w:rsidR="00DB3574" w:rsidRPr="00DB3574" w14:paraId="54BC86C8" w14:textId="77777777" w:rsidTr="00DB3574">
        <w:trPr>
          <w:trHeight w:val="369"/>
        </w:trPr>
        <w:tc>
          <w:tcPr>
            <w:tcW w:w="1843" w:type="dxa"/>
            <w:shd w:val="clear" w:color="auto" w:fill="D9D9D9" w:themeFill="background1" w:themeFillShade="D9"/>
          </w:tcPr>
          <w:p w14:paraId="1E048FCD" w14:textId="3B922207" w:rsidR="00DB3574" w:rsidRPr="00DB3574" w:rsidRDefault="00DB3574" w:rsidP="005E27FA">
            <w:pPr>
              <w:spacing w:line="276" w:lineRule="auto"/>
              <w:rPr>
                <w:rFonts w:cstheme="majorHAnsi"/>
              </w:rPr>
            </w:pPr>
            <w:r w:rsidRPr="00DB3574">
              <w:rPr>
                <w:rFonts w:cstheme="majorHAnsi"/>
                <w:noProof/>
              </w:rPr>
              <w:t>Familiarity with the culture</w:t>
            </w:r>
            <w:r w:rsidR="009C3D08">
              <w:rPr>
                <w:rFonts w:cstheme="majorHAnsi"/>
                <w:noProof/>
              </w:rPr>
              <w:t xml:space="preserve"> or topic</w:t>
            </w:r>
          </w:p>
        </w:tc>
        <w:tc>
          <w:tcPr>
            <w:tcW w:w="4253" w:type="dxa"/>
            <w:shd w:val="clear" w:color="auto" w:fill="D9D9D9" w:themeFill="background1" w:themeFillShade="D9"/>
          </w:tcPr>
          <w:p w14:paraId="05E663FE" w14:textId="77777777" w:rsidR="00DB3574" w:rsidRDefault="00DB3574" w:rsidP="005E27FA">
            <w:pPr>
              <w:spacing w:line="276" w:lineRule="auto"/>
              <w:rPr>
                <w:rFonts w:cstheme="majorHAnsi"/>
                <w:noProof/>
              </w:rPr>
            </w:pPr>
            <w:r w:rsidRPr="00DB3574">
              <w:rPr>
                <w:rFonts w:cstheme="majorHAnsi"/>
                <w:noProof/>
              </w:rPr>
              <w:t xml:space="preserve">The researchers need to become very familiar with the cultures and perspectives of the organizations or communities that are participating in their study.  Researchers </w:t>
            </w:r>
            <w:r w:rsidRPr="00DB3574">
              <w:rPr>
                <w:rFonts w:cstheme="majorHAnsi"/>
                <w:noProof/>
              </w:rPr>
              <w:lastRenderedPageBreak/>
              <w:t xml:space="preserve">recommend prolonged engagement with these organizations or communities to develop understanding and trust. </w:t>
            </w:r>
          </w:p>
          <w:p w14:paraId="1CF15921" w14:textId="77777777" w:rsidR="009C3D08" w:rsidRDefault="009C3D08" w:rsidP="005E27FA">
            <w:pPr>
              <w:spacing w:line="276" w:lineRule="auto"/>
              <w:rPr>
                <w:rFonts w:cstheme="majorHAnsi"/>
                <w:noProof/>
              </w:rPr>
            </w:pPr>
          </w:p>
          <w:p w14:paraId="300D6BEA" w14:textId="59120EF8" w:rsidR="009C3D08" w:rsidRPr="00DB3574" w:rsidRDefault="009C3D08" w:rsidP="009C3D08">
            <w:pPr>
              <w:spacing w:line="276" w:lineRule="auto"/>
              <w:rPr>
                <w:rFonts w:cstheme="majorHAnsi"/>
              </w:rPr>
            </w:pPr>
            <w:r w:rsidRPr="009C3D08">
              <w:rPr>
                <w:rFonts w:cstheme="majorHAnsi"/>
              </w:rPr>
              <w:t xml:space="preserve">Other researchers also suggest, especially when interviewing experts or specialists in a field, to develop competence and familiarity with the field and expertise of their participants (e.g., Littig, 2009; </w:t>
            </w:r>
            <w:proofErr w:type="spellStart"/>
            <w:r w:rsidRPr="009C3D08">
              <w:rPr>
                <w:rFonts w:cstheme="majorHAnsi"/>
              </w:rPr>
              <w:t>Pfadenhauer</w:t>
            </w:r>
            <w:proofErr w:type="spellEnd"/>
            <w:r w:rsidRPr="009C3D08">
              <w:rPr>
                <w:rFonts w:cstheme="majorHAnsi"/>
              </w:rPr>
              <w:t>, 2009).  Consequently, the researchers will be able to propose counterarguments to explore matters in more depth and to refrain from questions of clarification that would otherwise disrupt the interview.</w:t>
            </w:r>
          </w:p>
        </w:tc>
        <w:tc>
          <w:tcPr>
            <w:tcW w:w="3543" w:type="dxa"/>
            <w:shd w:val="clear" w:color="auto" w:fill="D9D9D9" w:themeFill="background1" w:themeFillShade="D9"/>
          </w:tcPr>
          <w:p w14:paraId="0DF1AB94" w14:textId="77777777" w:rsidR="00DB3574" w:rsidRPr="00DB3574" w:rsidRDefault="00DB3574" w:rsidP="005E27FA">
            <w:pPr>
              <w:spacing w:line="276" w:lineRule="auto"/>
              <w:rPr>
                <w:rFonts w:cstheme="majorHAnsi"/>
              </w:rPr>
            </w:pPr>
            <w:r w:rsidRPr="00DB3574">
              <w:rPr>
                <w:rFonts w:cstheme="majorHAnsi"/>
              </w:rPr>
              <w:lastRenderedPageBreak/>
              <w:t xml:space="preserve">Researchers need to ensure that prolonged engagement does not detract time and resources from the </w:t>
            </w:r>
            <w:r w:rsidRPr="00DB3574">
              <w:rPr>
                <w:rFonts w:cstheme="majorHAnsi"/>
              </w:rPr>
              <w:lastRenderedPageBreak/>
              <w:t>organizations or communities—or impair their professional judgment.</w:t>
            </w:r>
          </w:p>
          <w:p w14:paraId="0B500FC1" w14:textId="77777777" w:rsidR="00DB3574" w:rsidRPr="00DB3574" w:rsidRDefault="00DB3574" w:rsidP="005E27FA">
            <w:pPr>
              <w:spacing w:line="276" w:lineRule="auto"/>
              <w:rPr>
                <w:rFonts w:cstheme="majorHAnsi"/>
              </w:rPr>
            </w:pPr>
          </w:p>
          <w:p w14:paraId="1979216D" w14:textId="77777777" w:rsidR="00DB3574" w:rsidRPr="00DB3574" w:rsidRDefault="00DB3574" w:rsidP="005E27FA">
            <w:pPr>
              <w:pStyle w:val="ListParagraph"/>
              <w:numPr>
                <w:ilvl w:val="0"/>
                <w:numId w:val="33"/>
              </w:numPr>
              <w:spacing w:before="0" w:after="0" w:line="276" w:lineRule="auto"/>
              <w:rPr>
                <w:rFonts w:cstheme="majorHAnsi"/>
              </w:rPr>
            </w:pPr>
            <w:r w:rsidRPr="00DB3574">
              <w:rPr>
                <w:rFonts w:cstheme="majorHAnsi"/>
              </w:rPr>
              <w:t xml:space="preserve">See </w:t>
            </w:r>
            <w:r w:rsidRPr="00DB3574">
              <w:rPr>
                <w:rFonts w:cstheme="majorHAnsi"/>
                <w:noProof/>
              </w:rPr>
              <w:t>Shenton (2004</w:t>
            </w:r>
            <w:r w:rsidRPr="00DB3574">
              <w:rPr>
                <w:rFonts w:cstheme="majorHAnsi"/>
              </w:rPr>
              <w:t>), Section 2b</w:t>
            </w:r>
          </w:p>
          <w:p w14:paraId="570422EB" w14:textId="77777777" w:rsidR="00DB3574" w:rsidRPr="00DB3574" w:rsidRDefault="00DB3574" w:rsidP="005E27FA">
            <w:pPr>
              <w:pStyle w:val="ListParagraph"/>
              <w:numPr>
                <w:ilvl w:val="0"/>
                <w:numId w:val="33"/>
              </w:numPr>
              <w:spacing w:before="0" w:after="0" w:line="276" w:lineRule="auto"/>
              <w:rPr>
                <w:rFonts w:cstheme="majorHAnsi"/>
              </w:rPr>
            </w:pPr>
            <w:r w:rsidRPr="00DB3574">
              <w:rPr>
                <w:rFonts w:cstheme="majorHAnsi"/>
              </w:rPr>
              <w:t>Cite Lincoln and Guba (1985); Silverman (2000)</w:t>
            </w:r>
          </w:p>
        </w:tc>
      </w:tr>
      <w:tr w:rsidR="00DB3574" w:rsidRPr="00DB3574" w14:paraId="1A03368A" w14:textId="77777777" w:rsidTr="00DB3574">
        <w:trPr>
          <w:trHeight w:val="369"/>
        </w:trPr>
        <w:tc>
          <w:tcPr>
            <w:tcW w:w="1843" w:type="dxa"/>
            <w:shd w:val="clear" w:color="auto" w:fill="D9D9D9" w:themeFill="background1" w:themeFillShade="D9"/>
          </w:tcPr>
          <w:p w14:paraId="5F8B98B2" w14:textId="77777777" w:rsidR="00DB3574" w:rsidRPr="00DB3574" w:rsidRDefault="00DB3574" w:rsidP="005E27FA">
            <w:pPr>
              <w:spacing w:line="276" w:lineRule="auto"/>
              <w:rPr>
                <w:rFonts w:cstheme="majorHAnsi"/>
              </w:rPr>
            </w:pPr>
            <w:r w:rsidRPr="00DB3574">
              <w:rPr>
                <w:rFonts w:cstheme="majorHAnsi"/>
                <w:noProof/>
              </w:rPr>
              <w:lastRenderedPageBreak/>
              <w:t>Complement purposive sampling with random sampling</w:t>
            </w:r>
          </w:p>
        </w:tc>
        <w:tc>
          <w:tcPr>
            <w:tcW w:w="4253" w:type="dxa"/>
            <w:shd w:val="clear" w:color="auto" w:fill="D9D9D9" w:themeFill="background1" w:themeFillShade="D9"/>
          </w:tcPr>
          <w:p w14:paraId="096DD00A" w14:textId="71AF2594" w:rsidR="00DB3574" w:rsidRPr="00DB3574" w:rsidRDefault="00DB3574" w:rsidP="005E27FA">
            <w:pPr>
              <w:spacing w:line="276" w:lineRule="auto"/>
              <w:rPr>
                <w:rFonts w:cstheme="majorHAnsi"/>
                <w:noProof/>
              </w:rPr>
            </w:pPr>
            <w:r w:rsidRPr="00DB3574">
              <w:rPr>
                <w:rFonts w:cstheme="majorHAnsi"/>
                <w:noProof/>
              </w:rPr>
              <w:t>In qualitative research, researchers often apply purposive sampling—in which they seek individuals or sources of information they believe will be most informative</w:t>
            </w:r>
            <w:r w:rsidR="00C7327B">
              <w:rPr>
                <w:rFonts w:cstheme="majorHAnsi"/>
                <w:noProof/>
              </w:rPr>
              <w:t xml:space="preserve"> (for more information, see Appendix A).</w:t>
            </w:r>
            <w:r w:rsidRPr="00DB3574">
              <w:rPr>
                <w:rFonts w:cstheme="majorHAnsi"/>
                <w:noProof/>
              </w:rPr>
              <w:t xml:space="preserve">However, </w:t>
            </w:r>
            <w:r w:rsidR="00BD4AC6">
              <w:rPr>
                <w:rFonts w:cstheme="majorHAnsi"/>
                <w:noProof/>
              </w:rPr>
              <w:t>researchers</w:t>
            </w:r>
            <w:r w:rsidRPr="00DB3574">
              <w:rPr>
                <w:rFonts w:cstheme="majorHAnsi"/>
                <w:noProof/>
              </w:rPr>
              <w:t xml:space="preserve"> could also complement this technique with some random sampling.  For example, they could randomly chose 5 individuals from a specific comminity. Without this procedure, the biases of researchers might affect who they choose to interview and thus bias the results.   </w:t>
            </w:r>
          </w:p>
        </w:tc>
        <w:tc>
          <w:tcPr>
            <w:tcW w:w="3543" w:type="dxa"/>
            <w:shd w:val="clear" w:color="auto" w:fill="D9D9D9" w:themeFill="background1" w:themeFillShade="D9"/>
          </w:tcPr>
          <w:p w14:paraId="54D2CE46" w14:textId="77777777" w:rsidR="00DB3574" w:rsidRPr="00DB3574" w:rsidRDefault="00DB3574" w:rsidP="005E27FA">
            <w:pPr>
              <w:spacing w:line="276" w:lineRule="auto"/>
              <w:rPr>
                <w:rFonts w:cstheme="majorHAnsi"/>
              </w:rPr>
            </w:pPr>
            <w:r w:rsidRPr="00DB3574">
              <w:rPr>
                <w:rFonts w:cstheme="majorHAnsi"/>
              </w:rPr>
              <w:t>A random sample might identify individuals who are uncooperative or uninformative</w:t>
            </w:r>
          </w:p>
          <w:p w14:paraId="36402793" w14:textId="77777777" w:rsidR="00DB3574" w:rsidRPr="00DB3574" w:rsidRDefault="00DB3574" w:rsidP="005E27FA">
            <w:pPr>
              <w:spacing w:line="276" w:lineRule="auto"/>
              <w:rPr>
                <w:rFonts w:cstheme="majorHAnsi"/>
              </w:rPr>
            </w:pPr>
          </w:p>
          <w:p w14:paraId="3237995C" w14:textId="22DB6506" w:rsidR="00DB3574" w:rsidRPr="00BD4AC6" w:rsidRDefault="00DB3574" w:rsidP="005E27FA">
            <w:pPr>
              <w:pStyle w:val="ListParagraph"/>
              <w:numPr>
                <w:ilvl w:val="0"/>
                <w:numId w:val="33"/>
              </w:numPr>
              <w:spacing w:before="0" w:after="0" w:line="276" w:lineRule="auto"/>
              <w:rPr>
                <w:rFonts w:cstheme="majorHAnsi"/>
              </w:rPr>
            </w:pPr>
            <w:r w:rsidRPr="00DB3574">
              <w:rPr>
                <w:rFonts w:cstheme="majorHAnsi"/>
              </w:rPr>
              <w:t xml:space="preserve">See </w:t>
            </w:r>
            <w:r w:rsidRPr="00DB3574">
              <w:rPr>
                <w:rFonts w:cstheme="majorHAnsi"/>
                <w:noProof/>
              </w:rPr>
              <w:t>Shenton (2004</w:t>
            </w:r>
            <w:r w:rsidRPr="00DB3574">
              <w:rPr>
                <w:rFonts w:cstheme="majorHAnsi"/>
              </w:rPr>
              <w:t>), Section 2c</w:t>
            </w:r>
            <w:r w:rsidR="00BD4AC6">
              <w:rPr>
                <w:rFonts w:cstheme="majorHAnsi"/>
              </w:rPr>
              <w:t xml:space="preserve">; </w:t>
            </w:r>
            <w:r w:rsidRPr="00BD4AC6">
              <w:rPr>
                <w:rFonts w:cstheme="majorHAnsi"/>
              </w:rPr>
              <w:t>Cite Bouma &amp; Atkinson, (1995)</w:t>
            </w:r>
          </w:p>
        </w:tc>
      </w:tr>
      <w:tr w:rsidR="00DB3574" w:rsidRPr="00DB3574" w14:paraId="00EE8183" w14:textId="77777777" w:rsidTr="00DB3574">
        <w:trPr>
          <w:trHeight w:val="369"/>
        </w:trPr>
        <w:tc>
          <w:tcPr>
            <w:tcW w:w="1843" w:type="dxa"/>
            <w:shd w:val="clear" w:color="auto" w:fill="D9D9D9" w:themeFill="background1" w:themeFillShade="D9"/>
          </w:tcPr>
          <w:p w14:paraId="085016FD" w14:textId="77777777" w:rsidR="00DB3574" w:rsidRPr="00DB3574" w:rsidRDefault="00DB3574" w:rsidP="005E27FA">
            <w:pPr>
              <w:spacing w:line="276" w:lineRule="auto"/>
              <w:rPr>
                <w:rFonts w:cstheme="majorHAnsi"/>
              </w:rPr>
            </w:pPr>
            <w:r w:rsidRPr="00DB3574">
              <w:rPr>
                <w:rFonts w:cstheme="majorHAnsi"/>
                <w:noProof/>
              </w:rPr>
              <w:t>Debriefing</w:t>
            </w:r>
          </w:p>
        </w:tc>
        <w:tc>
          <w:tcPr>
            <w:tcW w:w="4253" w:type="dxa"/>
            <w:shd w:val="clear" w:color="auto" w:fill="D9D9D9" w:themeFill="background1" w:themeFillShade="D9"/>
          </w:tcPr>
          <w:p w14:paraId="038EAD00" w14:textId="77777777" w:rsidR="00DB3574" w:rsidRPr="00DB3574" w:rsidRDefault="00DB3574" w:rsidP="005E27FA">
            <w:pPr>
              <w:spacing w:line="276" w:lineRule="auto"/>
              <w:rPr>
                <w:rFonts w:cstheme="majorHAnsi"/>
                <w:noProof/>
              </w:rPr>
            </w:pPr>
            <w:r w:rsidRPr="00DB3574">
              <w:rPr>
                <w:rFonts w:cstheme="majorHAnsi"/>
                <w:noProof/>
              </w:rPr>
              <w:t>Researchers should convey their provisional themes, concepts, ideas, and conclusions to project supervisors or directors on a regular basis—as well as to other peers.  During these conversations, these supervisors or directors might</w:t>
            </w:r>
          </w:p>
          <w:p w14:paraId="138F7840" w14:textId="77777777" w:rsidR="00DB3574" w:rsidRPr="00DB3574" w:rsidRDefault="00DB3574" w:rsidP="005E27FA">
            <w:pPr>
              <w:spacing w:line="276" w:lineRule="auto"/>
              <w:rPr>
                <w:rFonts w:cstheme="majorHAnsi"/>
                <w:noProof/>
              </w:rPr>
            </w:pPr>
          </w:p>
          <w:p w14:paraId="0204D8EA" w14:textId="77777777" w:rsidR="00DB3574" w:rsidRPr="00DB3574" w:rsidRDefault="00DB3574" w:rsidP="005E27FA">
            <w:pPr>
              <w:pStyle w:val="ListParagraph"/>
              <w:numPr>
                <w:ilvl w:val="0"/>
                <w:numId w:val="34"/>
              </w:numPr>
              <w:spacing w:before="0" w:after="0" w:line="276" w:lineRule="auto"/>
              <w:rPr>
                <w:rFonts w:cstheme="majorHAnsi"/>
                <w:noProof/>
              </w:rPr>
            </w:pPr>
            <w:r w:rsidRPr="00DB3574">
              <w:rPr>
                <w:rFonts w:cstheme="majorHAnsi"/>
                <w:noProof/>
              </w:rPr>
              <w:t>question these conclusions to uncover complications and generate richer data</w:t>
            </w:r>
          </w:p>
          <w:p w14:paraId="0F023C30" w14:textId="77777777" w:rsidR="00DB3574" w:rsidRPr="00DB3574" w:rsidRDefault="00DB3574" w:rsidP="005E27FA">
            <w:pPr>
              <w:pStyle w:val="ListParagraph"/>
              <w:numPr>
                <w:ilvl w:val="0"/>
                <w:numId w:val="34"/>
              </w:numPr>
              <w:spacing w:before="0" w:after="0" w:line="276" w:lineRule="auto"/>
              <w:rPr>
                <w:rFonts w:cstheme="majorHAnsi"/>
                <w:noProof/>
              </w:rPr>
            </w:pPr>
            <w:r w:rsidRPr="00DB3574">
              <w:rPr>
                <w:rFonts w:cstheme="majorHAnsi"/>
                <w:noProof/>
              </w:rPr>
              <w:t>convey some topics or perspectives the researcher might have overlooked</w:t>
            </w:r>
          </w:p>
          <w:p w14:paraId="63CBB33D" w14:textId="77777777" w:rsidR="00DB3574" w:rsidRPr="00DB3574" w:rsidRDefault="00DB3574" w:rsidP="005E27FA">
            <w:pPr>
              <w:pStyle w:val="ListParagraph"/>
              <w:numPr>
                <w:ilvl w:val="0"/>
                <w:numId w:val="34"/>
              </w:numPr>
              <w:spacing w:before="0" w:after="0" w:line="276" w:lineRule="auto"/>
              <w:rPr>
                <w:rFonts w:cstheme="majorHAnsi"/>
                <w:noProof/>
              </w:rPr>
            </w:pPr>
            <w:r w:rsidRPr="00DB3574">
              <w:rPr>
                <w:rFonts w:cstheme="majorHAnsi"/>
                <w:noProof/>
              </w:rPr>
              <w:t xml:space="preserve">unearth some biases in the researcher  </w:t>
            </w:r>
          </w:p>
        </w:tc>
        <w:tc>
          <w:tcPr>
            <w:tcW w:w="3543" w:type="dxa"/>
            <w:shd w:val="clear" w:color="auto" w:fill="D9D9D9" w:themeFill="background1" w:themeFillShade="D9"/>
          </w:tcPr>
          <w:p w14:paraId="18A805AD" w14:textId="77777777" w:rsidR="00DB3574" w:rsidRPr="00DB3574" w:rsidRDefault="00DB3574" w:rsidP="005E27FA">
            <w:pPr>
              <w:pStyle w:val="ListParagraph"/>
              <w:numPr>
                <w:ilvl w:val="0"/>
                <w:numId w:val="34"/>
              </w:numPr>
              <w:spacing w:before="0" w:after="0" w:line="276" w:lineRule="auto"/>
              <w:rPr>
                <w:rFonts w:cstheme="majorHAnsi"/>
              </w:rPr>
            </w:pPr>
            <w:r w:rsidRPr="00DB3574">
              <w:rPr>
                <w:rFonts w:cstheme="majorHAnsi"/>
              </w:rPr>
              <w:t xml:space="preserve">See </w:t>
            </w:r>
            <w:r w:rsidRPr="00DB3574">
              <w:rPr>
                <w:rFonts w:cstheme="majorHAnsi"/>
                <w:noProof/>
              </w:rPr>
              <w:t>Shenton (2004</w:t>
            </w:r>
            <w:r w:rsidRPr="00DB3574">
              <w:rPr>
                <w:rFonts w:cstheme="majorHAnsi"/>
              </w:rPr>
              <w:t>), Section 2h and 2i</w:t>
            </w:r>
          </w:p>
        </w:tc>
      </w:tr>
      <w:tr w:rsidR="00DB3574" w:rsidRPr="00DB3574" w14:paraId="2893A1EC" w14:textId="77777777" w:rsidTr="00DB3574">
        <w:trPr>
          <w:trHeight w:val="369"/>
        </w:trPr>
        <w:tc>
          <w:tcPr>
            <w:tcW w:w="1843" w:type="dxa"/>
            <w:shd w:val="clear" w:color="auto" w:fill="D9D9D9" w:themeFill="background1" w:themeFillShade="D9"/>
          </w:tcPr>
          <w:p w14:paraId="58EB32E3" w14:textId="77777777" w:rsidR="00DB3574" w:rsidRPr="00DB3574" w:rsidRDefault="00DB3574" w:rsidP="005E27FA">
            <w:pPr>
              <w:spacing w:line="276" w:lineRule="auto"/>
              <w:rPr>
                <w:rFonts w:cstheme="majorHAnsi"/>
              </w:rPr>
            </w:pPr>
            <w:r w:rsidRPr="00DB3574">
              <w:rPr>
                <w:rFonts w:cstheme="majorHAnsi"/>
                <w:noProof/>
              </w:rPr>
              <w:t>Assessment by informants: Member checks</w:t>
            </w:r>
          </w:p>
        </w:tc>
        <w:tc>
          <w:tcPr>
            <w:tcW w:w="4253" w:type="dxa"/>
            <w:shd w:val="clear" w:color="auto" w:fill="D9D9D9" w:themeFill="background1" w:themeFillShade="D9"/>
          </w:tcPr>
          <w:p w14:paraId="520C266D" w14:textId="77777777" w:rsidR="00DB3574" w:rsidRPr="00DB3574" w:rsidRDefault="00DB3574" w:rsidP="005E27FA">
            <w:pPr>
              <w:spacing w:line="276" w:lineRule="auto"/>
              <w:rPr>
                <w:rFonts w:cstheme="majorHAnsi"/>
                <w:noProof/>
              </w:rPr>
            </w:pPr>
            <w:r w:rsidRPr="00DB3574">
              <w:rPr>
                <w:rFonts w:cstheme="majorHAnsi"/>
                <w:noProof/>
              </w:rPr>
              <w:t>Informants should be granted an opportunity to assess the work the researcher produces.  For example</w:t>
            </w:r>
          </w:p>
          <w:p w14:paraId="372B017C" w14:textId="77777777" w:rsidR="00DB3574" w:rsidRPr="00DB3574" w:rsidRDefault="00DB3574" w:rsidP="005E27FA">
            <w:pPr>
              <w:spacing w:line="276" w:lineRule="auto"/>
              <w:rPr>
                <w:rFonts w:cstheme="majorHAnsi"/>
                <w:noProof/>
              </w:rPr>
            </w:pPr>
          </w:p>
          <w:p w14:paraId="07E4BC61" w14:textId="77777777" w:rsidR="00DB3574" w:rsidRPr="00DB3574" w:rsidRDefault="00DB3574" w:rsidP="005E27FA">
            <w:pPr>
              <w:pStyle w:val="ListParagraph"/>
              <w:numPr>
                <w:ilvl w:val="0"/>
                <w:numId w:val="36"/>
              </w:numPr>
              <w:spacing w:before="0" w:after="0" w:line="276" w:lineRule="auto"/>
              <w:rPr>
                <w:rFonts w:cstheme="majorHAnsi"/>
                <w:noProof/>
              </w:rPr>
            </w:pPr>
            <w:r w:rsidRPr="00DB3574">
              <w:rPr>
                <w:rFonts w:cstheme="majorHAnsi"/>
                <w:noProof/>
              </w:rPr>
              <w:lastRenderedPageBreak/>
              <w:t>During interviews, on several occasions, researchers should summarize their understanding of the answers—and ask the informant whether this depiction is correct</w:t>
            </w:r>
          </w:p>
          <w:p w14:paraId="6D1B8FE8" w14:textId="77777777" w:rsidR="00DB3574" w:rsidRPr="00DB3574" w:rsidRDefault="00DB3574" w:rsidP="005E27FA">
            <w:pPr>
              <w:pStyle w:val="ListParagraph"/>
              <w:numPr>
                <w:ilvl w:val="0"/>
                <w:numId w:val="36"/>
              </w:numPr>
              <w:spacing w:before="0" w:after="0" w:line="276" w:lineRule="auto"/>
              <w:rPr>
                <w:rFonts w:cstheme="majorHAnsi"/>
                <w:noProof/>
              </w:rPr>
            </w:pPr>
            <w:r w:rsidRPr="00DB3574">
              <w:rPr>
                <w:rFonts w:cstheme="majorHAnsi"/>
                <w:noProof/>
              </w:rPr>
              <w:t>Informants can read the transcripts of their interviews—because audios can be scratchy</w:t>
            </w:r>
          </w:p>
          <w:p w14:paraId="556C99BC" w14:textId="77777777" w:rsidR="00DB3574" w:rsidRPr="00DB3574" w:rsidRDefault="00DB3574" w:rsidP="005E27FA">
            <w:pPr>
              <w:pStyle w:val="ListParagraph"/>
              <w:numPr>
                <w:ilvl w:val="0"/>
                <w:numId w:val="36"/>
              </w:numPr>
              <w:spacing w:before="0" w:after="0" w:line="276" w:lineRule="auto"/>
              <w:rPr>
                <w:rFonts w:cstheme="majorHAnsi"/>
                <w:noProof/>
              </w:rPr>
            </w:pPr>
            <w:r w:rsidRPr="00DB3574">
              <w:rPr>
                <w:rFonts w:cstheme="majorHAnsi"/>
                <w:noProof/>
              </w:rPr>
              <w:t>Informants can be asked whether their answers are consistent with the emerging themes or concepts</w:t>
            </w:r>
          </w:p>
          <w:p w14:paraId="4252B536" w14:textId="77777777" w:rsidR="00DB3574" w:rsidRPr="00DB3574" w:rsidRDefault="00DB3574" w:rsidP="005E27FA">
            <w:pPr>
              <w:pStyle w:val="ListParagraph"/>
              <w:numPr>
                <w:ilvl w:val="0"/>
                <w:numId w:val="36"/>
              </w:numPr>
              <w:spacing w:before="0" w:after="0" w:line="276" w:lineRule="auto"/>
              <w:rPr>
                <w:rFonts w:cstheme="majorHAnsi"/>
                <w:noProof/>
              </w:rPr>
            </w:pPr>
            <w:r w:rsidRPr="00DB3574">
              <w:rPr>
                <w:rFonts w:cstheme="majorHAnsi"/>
                <w:noProof/>
              </w:rPr>
              <w:t>Informants can be asked to offer explanations for some of the key findings that emerged</w:t>
            </w:r>
          </w:p>
        </w:tc>
        <w:tc>
          <w:tcPr>
            <w:tcW w:w="3543" w:type="dxa"/>
            <w:shd w:val="clear" w:color="auto" w:fill="D9D9D9" w:themeFill="background1" w:themeFillShade="D9"/>
          </w:tcPr>
          <w:p w14:paraId="79FEB261" w14:textId="77777777" w:rsidR="00DB3574" w:rsidRPr="00DB3574" w:rsidRDefault="00DB3574" w:rsidP="005E27FA">
            <w:pPr>
              <w:pStyle w:val="ListParagraph"/>
              <w:numPr>
                <w:ilvl w:val="0"/>
                <w:numId w:val="36"/>
              </w:numPr>
              <w:spacing w:before="0" w:after="0" w:line="276" w:lineRule="auto"/>
              <w:rPr>
                <w:rFonts w:cstheme="majorHAnsi"/>
              </w:rPr>
            </w:pPr>
            <w:r w:rsidRPr="00DB3574">
              <w:rPr>
                <w:rFonts w:cstheme="majorHAnsi"/>
              </w:rPr>
              <w:lastRenderedPageBreak/>
              <w:t xml:space="preserve">See </w:t>
            </w:r>
            <w:r w:rsidRPr="00DB3574">
              <w:rPr>
                <w:rFonts w:cstheme="majorHAnsi"/>
                <w:noProof/>
              </w:rPr>
              <w:t>Shenton (2004</w:t>
            </w:r>
            <w:r w:rsidRPr="00DB3574">
              <w:rPr>
                <w:rFonts w:cstheme="majorHAnsi"/>
              </w:rPr>
              <w:t>), Section 2l</w:t>
            </w:r>
          </w:p>
          <w:p w14:paraId="3B0E244E" w14:textId="77777777" w:rsidR="00DB3574" w:rsidRPr="00DB3574" w:rsidRDefault="00DB3574" w:rsidP="005E27FA">
            <w:pPr>
              <w:pStyle w:val="ListParagraph"/>
              <w:numPr>
                <w:ilvl w:val="0"/>
                <w:numId w:val="36"/>
              </w:numPr>
              <w:spacing w:before="0" w:after="0" w:line="276" w:lineRule="auto"/>
              <w:rPr>
                <w:rFonts w:cstheme="majorHAnsi"/>
              </w:rPr>
            </w:pPr>
            <w:r w:rsidRPr="00DB3574">
              <w:rPr>
                <w:rFonts w:cstheme="majorHAnsi"/>
              </w:rPr>
              <w:t>Cite Brewer &amp; Hunter (1989); Miles &amp; Huberman, (1994)</w:t>
            </w:r>
          </w:p>
        </w:tc>
      </w:tr>
    </w:tbl>
    <w:p w14:paraId="2ACD3C1C" w14:textId="5BD30B25" w:rsidR="00DB3574" w:rsidRDefault="00DB3574" w:rsidP="005E27FA">
      <w:pPr>
        <w:spacing w:line="276" w:lineRule="auto"/>
        <w:rPr>
          <w:rFonts w:cstheme="majorHAnsi"/>
          <w:lang w:val="en-AU"/>
        </w:rPr>
      </w:pPr>
    </w:p>
    <w:p w14:paraId="4A5F7105" w14:textId="77777777" w:rsidR="005E27FA" w:rsidRPr="00DB3574" w:rsidRDefault="005E27FA" w:rsidP="005E27FA">
      <w:pPr>
        <w:spacing w:line="276" w:lineRule="auto"/>
        <w:rPr>
          <w:rFonts w:cstheme="majorHAnsi"/>
          <w:lang w:val="en-AU"/>
        </w:rPr>
      </w:pPr>
    </w:p>
    <w:p w14:paraId="7E2DFE7B" w14:textId="6FC1BEE2" w:rsidR="0081211C" w:rsidRPr="00DB3574" w:rsidRDefault="0081211C" w:rsidP="005E27FA">
      <w:pPr>
        <w:spacing w:line="276" w:lineRule="auto"/>
        <w:rPr>
          <w:rFonts w:cstheme="majorHAnsi"/>
        </w:rPr>
      </w:pPr>
    </w:p>
    <w:p w14:paraId="76C4E02E" w14:textId="65F7FBEA" w:rsidR="00DB3574" w:rsidRPr="00DB3574" w:rsidRDefault="00DB3574" w:rsidP="005E27FA">
      <w:pPr>
        <w:pStyle w:val="Heading2"/>
        <w:spacing w:line="276" w:lineRule="auto"/>
        <w:rPr>
          <w:rFonts w:asciiTheme="majorHAnsi" w:hAnsiTheme="majorHAnsi" w:cstheme="majorHAnsi"/>
          <w:noProof/>
        </w:rPr>
      </w:pPr>
      <w:r w:rsidRPr="00DB3574">
        <w:rPr>
          <w:rFonts w:asciiTheme="majorHAnsi" w:hAnsiTheme="majorHAnsi" w:cstheme="majorHAnsi"/>
          <w:noProof/>
        </w:rPr>
        <w:t>Overview of supervision</w:t>
      </w:r>
    </w:p>
    <w:p w14:paraId="47B5C8A2" w14:textId="23DEB763" w:rsidR="00DB3574" w:rsidRPr="00DB3574" w:rsidRDefault="00DB3574" w:rsidP="005E27FA">
      <w:pPr>
        <w:spacing w:line="276" w:lineRule="auto"/>
        <w:rPr>
          <w:rFonts w:cstheme="majorHAnsi"/>
          <w:lang w:val="en-AU"/>
        </w:rPr>
      </w:pPr>
    </w:p>
    <w:p w14:paraId="2CE2B867" w14:textId="77777777" w:rsidR="00DB3574" w:rsidRPr="00DB3574" w:rsidRDefault="00DB3574" w:rsidP="00FE67BE">
      <w:pPr>
        <w:spacing w:line="276" w:lineRule="auto"/>
        <w:ind w:firstLine="720"/>
        <w:rPr>
          <w:rFonts w:cstheme="majorHAnsi"/>
          <w:noProof/>
          <w:szCs w:val="22"/>
        </w:rPr>
      </w:pPr>
      <w:r w:rsidRPr="00DB3574">
        <w:rPr>
          <w:rFonts w:cstheme="majorHAnsi"/>
          <w:noProof/>
          <w:szCs w:val="22"/>
        </w:rPr>
        <w:t>When supervising a research candidate who wants to collect and analyze qualitative data, such as interviews, focus groups, and documents, you might encourage these individuals to complete the following activities, roughly in this order</w:t>
      </w:r>
    </w:p>
    <w:p w14:paraId="10C90CA8" w14:textId="77777777" w:rsidR="00DB3574" w:rsidRPr="00DB3574" w:rsidRDefault="00DB3574" w:rsidP="005E27FA">
      <w:pPr>
        <w:spacing w:line="276" w:lineRule="auto"/>
        <w:ind w:left="1985"/>
        <w:rPr>
          <w:rFonts w:cstheme="majorHAnsi"/>
          <w:noProof/>
          <w:szCs w:val="22"/>
        </w:rPr>
      </w:pPr>
    </w:p>
    <w:tbl>
      <w:tblPr>
        <w:tblStyle w:val="TableGrid"/>
        <w:tblpPr w:leftFromText="180" w:rightFromText="180" w:vertAnchor="text" w:horzAnchor="page" w:tblpX="1247" w:tblpY="83"/>
        <w:tblW w:w="963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689"/>
        <w:gridCol w:w="6950"/>
      </w:tblGrid>
      <w:tr w:rsidR="00DB3574" w:rsidRPr="00DB3574" w14:paraId="4868C381" w14:textId="77777777" w:rsidTr="00DB3574">
        <w:trPr>
          <w:trHeight w:val="355"/>
        </w:trPr>
        <w:tc>
          <w:tcPr>
            <w:tcW w:w="2689" w:type="dxa"/>
            <w:shd w:val="clear" w:color="auto" w:fill="C6EBD6" w:themeFill="accent5" w:themeFillTint="66"/>
          </w:tcPr>
          <w:p w14:paraId="59443741" w14:textId="77777777" w:rsidR="00DB3574" w:rsidRPr="00DB3574" w:rsidRDefault="00DB3574" w:rsidP="005E27FA">
            <w:pPr>
              <w:spacing w:line="276" w:lineRule="auto"/>
              <w:jc w:val="center"/>
              <w:rPr>
                <w:rFonts w:cstheme="majorHAnsi"/>
              </w:rPr>
            </w:pPr>
            <w:r w:rsidRPr="00DB3574">
              <w:rPr>
                <w:rFonts w:cstheme="majorHAnsi"/>
              </w:rPr>
              <w:t>Activity candidate should complete</w:t>
            </w:r>
          </w:p>
        </w:tc>
        <w:tc>
          <w:tcPr>
            <w:tcW w:w="6950" w:type="dxa"/>
            <w:shd w:val="clear" w:color="auto" w:fill="C6EBD6" w:themeFill="accent5" w:themeFillTint="66"/>
          </w:tcPr>
          <w:p w14:paraId="29088F28" w14:textId="77777777" w:rsidR="00DB3574" w:rsidRPr="00DB3574" w:rsidRDefault="00DB3574" w:rsidP="005E27FA">
            <w:pPr>
              <w:spacing w:line="276" w:lineRule="auto"/>
              <w:jc w:val="center"/>
              <w:rPr>
                <w:rFonts w:cstheme="majorHAnsi"/>
              </w:rPr>
            </w:pPr>
            <w:r w:rsidRPr="00DB3574">
              <w:rPr>
                <w:rFonts w:cstheme="majorHAnsi"/>
              </w:rPr>
              <w:t>How to support this candidate</w:t>
            </w:r>
          </w:p>
        </w:tc>
      </w:tr>
      <w:tr w:rsidR="00DB3574" w:rsidRPr="00DB3574" w14:paraId="3E5D4046" w14:textId="77777777" w:rsidTr="00DB3574">
        <w:trPr>
          <w:trHeight w:val="369"/>
        </w:trPr>
        <w:tc>
          <w:tcPr>
            <w:tcW w:w="2689" w:type="dxa"/>
            <w:shd w:val="clear" w:color="auto" w:fill="D9D9D9" w:themeFill="background1" w:themeFillShade="D9"/>
          </w:tcPr>
          <w:p w14:paraId="7620FAC3" w14:textId="77777777" w:rsidR="00DB3574" w:rsidRPr="00DB3574" w:rsidRDefault="00DB3574" w:rsidP="005E27FA">
            <w:pPr>
              <w:spacing w:line="276" w:lineRule="auto"/>
              <w:rPr>
                <w:rFonts w:cstheme="majorHAnsi"/>
              </w:rPr>
            </w:pPr>
            <w:r w:rsidRPr="00DB3574">
              <w:rPr>
                <w:rFonts w:cstheme="majorHAnsi"/>
                <w:noProof/>
              </w:rPr>
              <w:t>The candidates should immerse themselves in the communities or settings they want to study</w:t>
            </w:r>
          </w:p>
        </w:tc>
        <w:tc>
          <w:tcPr>
            <w:tcW w:w="6950" w:type="dxa"/>
            <w:shd w:val="clear" w:color="auto" w:fill="D9D9D9" w:themeFill="background1" w:themeFillShade="D9"/>
          </w:tcPr>
          <w:p w14:paraId="6A40EEF1" w14:textId="77777777" w:rsidR="00DB3574" w:rsidRPr="00DB3574" w:rsidRDefault="00DB3574" w:rsidP="005E27FA">
            <w:pPr>
              <w:spacing w:line="276" w:lineRule="auto"/>
              <w:rPr>
                <w:rFonts w:cstheme="majorHAnsi"/>
              </w:rPr>
            </w:pPr>
            <w:r w:rsidRPr="00DB3574">
              <w:rPr>
                <w:rFonts w:cstheme="majorHAnsi"/>
              </w:rPr>
              <w:t>Ensure the candidates have</w:t>
            </w:r>
          </w:p>
          <w:p w14:paraId="581B872A" w14:textId="77777777" w:rsidR="00DB3574" w:rsidRPr="00DB3574" w:rsidRDefault="00DB3574" w:rsidP="005E27FA">
            <w:pPr>
              <w:spacing w:line="276" w:lineRule="auto"/>
              <w:rPr>
                <w:rFonts w:cstheme="majorHAnsi"/>
              </w:rPr>
            </w:pPr>
          </w:p>
          <w:p w14:paraId="331D3A83" w14:textId="77777777" w:rsidR="00DB3574" w:rsidRPr="00DB3574" w:rsidRDefault="00DB3574" w:rsidP="005E27FA">
            <w:pPr>
              <w:pStyle w:val="ListParagraph"/>
              <w:numPr>
                <w:ilvl w:val="0"/>
                <w:numId w:val="40"/>
              </w:numPr>
              <w:spacing w:before="0" w:after="0" w:line="276" w:lineRule="auto"/>
              <w:rPr>
                <w:rFonts w:cstheme="majorHAnsi"/>
              </w:rPr>
            </w:pPr>
            <w:r w:rsidRPr="00DB3574">
              <w:rPr>
                <w:rFonts w:cstheme="majorHAnsi"/>
              </w:rPr>
              <w:t>read the scholarly literature as well as informal literature, such as websites, brochures, and documents</w:t>
            </w:r>
          </w:p>
          <w:p w14:paraId="035A8EC8" w14:textId="77777777" w:rsidR="00DB3574" w:rsidRPr="00DB3574" w:rsidRDefault="00DB3574" w:rsidP="005E27FA">
            <w:pPr>
              <w:pStyle w:val="ListParagraph"/>
              <w:numPr>
                <w:ilvl w:val="0"/>
                <w:numId w:val="40"/>
              </w:numPr>
              <w:spacing w:before="0" w:after="0" w:line="276" w:lineRule="auto"/>
              <w:rPr>
                <w:rFonts w:cstheme="majorHAnsi"/>
              </w:rPr>
            </w:pPr>
            <w:r w:rsidRPr="00DB3574">
              <w:rPr>
                <w:rFonts w:cstheme="majorHAnsi"/>
              </w:rPr>
              <w:t>attended events and participated in activities, if appropriate</w:t>
            </w:r>
          </w:p>
          <w:p w14:paraId="4424444E" w14:textId="77777777" w:rsidR="00DB3574" w:rsidRPr="00DB3574" w:rsidRDefault="00DB3574" w:rsidP="005E27FA">
            <w:pPr>
              <w:pStyle w:val="ListParagraph"/>
              <w:numPr>
                <w:ilvl w:val="0"/>
                <w:numId w:val="40"/>
              </w:numPr>
              <w:spacing w:before="0" w:after="0" w:line="276" w:lineRule="auto"/>
              <w:rPr>
                <w:rFonts w:cstheme="majorHAnsi"/>
              </w:rPr>
            </w:pPr>
            <w:r w:rsidRPr="00DB3574">
              <w:rPr>
                <w:rFonts w:cstheme="majorHAnsi"/>
              </w:rPr>
              <w:t>spoken to members informally</w:t>
            </w:r>
          </w:p>
        </w:tc>
      </w:tr>
      <w:tr w:rsidR="00DB3574" w:rsidRPr="00DB3574" w14:paraId="3EFD13F2" w14:textId="77777777" w:rsidTr="00DB3574">
        <w:trPr>
          <w:trHeight w:val="369"/>
        </w:trPr>
        <w:tc>
          <w:tcPr>
            <w:tcW w:w="2689" w:type="dxa"/>
            <w:shd w:val="clear" w:color="auto" w:fill="D9D9D9" w:themeFill="background1" w:themeFillShade="D9"/>
          </w:tcPr>
          <w:p w14:paraId="1A779267" w14:textId="77777777" w:rsidR="00DB3574" w:rsidRPr="00DB3574" w:rsidRDefault="00DB3574" w:rsidP="005E27FA">
            <w:pPr>
              <w:spacing w:line="276" w:lineRule="auto"/>
              <w:rPr>
                <w:rFonts w:cstheme="majorHAnsi"/>
              </w:rPr>
            </w:pPr>
            <w:r w:rsidRPr="00DB3574">
              <w:rPr>
                <w:rFonts w:cstheme="majorHAnsi"/>
                <w:noProof/>
              </w:rPr>
              <w:t>The candidates should contemplate the research questions they might want to explore</w:t>
            </w:r>
          </w:p>
        </w:tc>
        <w:tc>
          <w:tcPr>
            <w:tcW w:w="6950" w:type="dxa"/>
            <w:shd w:val="clear" w:color="auto" w:fill="D9D9D9" w:themeFill="background1" w:themeFillShade="D9"/>
          </w:tcPr>
          <w:p w14:paraId="78382C24" w14:textId="77777777" w:rsidR="00DB3574" w:rsidRPr="00DB3574" w:rsidRDefault="00DB3574" w:rsidP="005E27FA">
            <w:pPr>
              <w:spacing w:line="276" w:lineRule="auto"/>
              <w:rPr>
                <w:rFonts w:cstheme="majorHAnsi"/>
              </w:rPr>
            </w:pPr>
            <w:r w:rsidRPr="00DB3574">
              <w:rPr>
                <w:rFonts w:cstheme="majorHAnsi"/>
              </w:rPr>
              <w:t>Encourage candidates to develop questions that</w:t>
            </w:r>
          </w:p>
          <w:p w14:paraId="1E026029" w14:textId="77777777" w:rsidR="00DB3574" w:rsidRPr="00DB3574" w:rsidRDefault="00DB3574" w:rsidP="005E27FA">
            <w:pPr>
              <w:spacing w:line="276" w:lineRule="auto"/>
              <w:rPr>
                <w:rFonts w:cstheme="majorHAnsi"/>
              </w:rPr>
            </w:pPr>
          </w:p>
          <w:p w14:paraId="5C2FBAC4" w14:textId="77777777" w:rsidR="00DB3574" w:rsidRPr="00DB3574" w:rsidRDefault="00DB3574" w:rsidP="005E27FA">
            <w:pPr>
              <w:pStyle w:val="ListParagraph"/>
              <w:numPr>
                <w:ilvl w:val="0"/>
                <w:numId w:val="41"/>
              </w:numPr>
              <w:spacing w:before="0" w:after="0" w:line="276" w:lineRule="auto"/>
              <w:rPr>
                <w:rFonts w:cstheme="majorHAnsi"/>
              </w:rPr>
            </w:pPr>
            <w:r w:rsidRPr="00DB3574">
              <w:rPr>
                <w:rFonts w:cstheme="majorHAnsi"/>
              </w:rPr>
              <w:t>accord with the suggestions and needs of community members</w:t>
            </w:r>
          </w:p>
          <w:p w14:paraId="2E1CE20C" w14:textId="77777777" w:rsidR="00DB3574" w:rsidRPr="00DB3574" w:rsidRDefault="00DB3574" w:rsidP="005E27FA">
            <w:pPr>
              <w:pStyle w:val="ListParagraph"/>
              <w:numPr>
                <w:ilvl w:val="0"/>
                <w:numId w:val="41"/>
              </w:numPr>
              <w:spacing w:before="0" w:after="0" w:line="276" w:lineRule="auto"/>
              <w:rPr>
                <w:rFonts w:cstheme="majorHAnsi"/>
              </w:rPr>
            </w:pPr>
            <w:r w:rsidRPr="00DB3574">
              <w:rPr>
                <w:rFonts w:cstheme="majorHAnsi"/>
              </w:rPr>
              <w:t>explore some fundamental paradox—a contradiction or obstacle that cannot be reconciled easily</w:t>
            </w:r>
          </w:p>
          <w:p w14:paraId="2518AEF8" w14:textId="77777777" w:rsidR="00DB3574" w:rsidRPr="00DB3574" w:rsidRDefault="00DB3574" w:rsidP="005E27FA">
            <w:pPr>
              <w:pStyle w:val="ListParagraph"/>
              <w:numPr>
                <w:ilvl w:val="0"/>
                <w:numId w:val="41"/>
              </w:numPr>
              <w:spacing w:before="0" w:after="0" w:line="276" w:lineRule="auto"/>
              <w:rPr>
                <w:rFonts w:cstheme="majorHAnsi"/>
              </w:rPr>
            </w:pPr>
            <w:r w:rsidRPr="00DB3574">
              <w:rPr>
                <w:rFonts w:cstheme="majorHAnsi"/>
              </w:rPr>
              <w:t>utilizes either their distinct talents passions—or the strengths and achievements of their university</w:t>
            </w:r>
          </w:p>
        </w:tc>
      </w:tr>
      <w:tr w:rsidR="00DB3574" w:rsidRPr="00DB3574" w14:paraId="77902A1F" w14:textId="77777777" w:rsidTr="00DB3574">
        <w:trPr>
          <w:trHeight w:val="369"/>
        </w:trPr>
        <w:tc>
          <w:tcPr>
            <w:tcW w:w="2689" w:type="dxa"/>
            <w:shd w:val="clear" w:color="auto" w:fill="D9D9D9" w:themeFill="background1" w:themeFillShade="D9"/>
          </w:tcPr>
          <w:p w14:paraId="0DF2F911" w14:textId="77777777" w:rsidR="00DB3574" w:rsidRPr="00DB3574" w:rsidRDefault="00DB3574" w:rsidP="005E27FA">
            <w:pPr>
              <w:spacing w:line="276" w:lineRule="auto"/>
              <w:rPr>
                <w:rFonts w:cstheme="majorHAnsi"/>
              </w:rPr>
            </w:pPr>
            <w:r w:rsidRPr="00DB3574">
              <w:rPr>
                <w:rFonts w:cstheme="majorHAnsi"/>
                <w:noProof/>
              </w:rPr>
              <w:t xml:space="preserve">The candidates should decide on which theoretical perspectives, </w:t>
            </w:r>
            <w:r w:rsidRPr="00DB3574">
              <w:rPr>
                <w:rFonts w:cstheme="majorHAnsi"/>
                <w:noProof/>
              </w:rPr>
              <w:lastRenderedPageBreak/>
              <w:t xml:space="preserve">methodologies, and methods might be suitable. </w:t>
            </w:r>
          </w:p>
        </w:tc>
        <w:tc>
          <w:tcPr>
            <w:tcW w:w="6950" w:type="dxa"/>
            <w:shd w:val="clear" w:color="auto" w:fill="D9D9D9" w:themeFill="background1" w:themeFillShade="D9"/>
          </w:tcPr>
          <w:p w14:paraId="3D49C5F6" w14:textId="77777777" w:rsidR="00DB3574" w:rsidRPr="00DB3574" w:rsidRDefault="00DB3574" w:rsidP="005E27FA">
            <w:pPr>
              <w:spacing w:line="276" w:lineRule="auto"/>
              <w:rPr>
                <w:rFonts w:cstheme="majorHAnsi"/>
              </w:rPr>
            </w:pPr>
            <w:r w:rsidRPr="00DB3574">
              <w:rPr>
                <w:rFonts w:cstheme="majorHAnsi"/>
              </w:rPr>
              <w:lastRenderedPageBreak/>
              <w:t>Encourage candidates to</w:t>
            </w:r>
          </w:p>
          <w:p w14:paraId="523C3E77" w14:textId="77777777" w:rsidR="00DB3574" w:rsidRPr="00DB3574" w:rsidRDefault="00DB3574" w:rsidP="005E27FA">
            <w:pPr>
              <w:spacing w:line="276" w:lineRule="auto"/>
              <w:rPr>
                <w:rFonts w:cstheme="majorHAnsi"/>
              </w:rPr>
            </w:pPr>
          </w:p>
          <w:p w14:paraId="6C353BBC" w14:textId="77777777" w:rsidR="00DB3574" w:rsidRPr="00DB3574" w:rsidRDefault="00DB3574" w:rsidP="005E27FA">
            <w:pPr>
              <w:pStyle w:val="ListParagraph"/>
              <w:numPr>
                <w:ilvl w:val="0"/>
                <w:numId w:val="40"/>
              </w:numPr>
              <w:spacing w:before="0" w:after="0" w:line="276" w:lineRule="auto"/>
              <w:rPr>
                <w:rFonts w:cstheme="majorHAnsi"/>
              </w:rPr>
            </w:pPr>
            <w:r w:rsidRPr="00DB3574">
              <w:rPr>
                <w:rFonts w:cstheme="majorHAnsi"/>
              </w:rPr>
              <w:lastRenderedPageBreak/>
              <w:t>proceed to “Choosing your research methodology and methods” on the website of useful materials for HDR candidates; read the document on choosing suitable qualitative approaches</w:t>
            </w:r>
          </w:p>
          <w:p w14:paraId="514199B3" w14:textId="77777777" w:rsidR="00DB3574" w:rsidRPr="00DB3574" w:rsidRDefault="00DB3574" w:rsidP="005E27FA">
            <w:pPr>
              <w:pStyle w:val="ListParagraph"/>
              <w:numPr>
                <w:ilvl w:val="0"/>
                <w:numId w:val="40"/>
              </w:numPr>
              <w:spacing w:before="0" w:after="0" w:line="276" w:lineRule="auto"/>
              <w:rPr>
                <w:rFonts w:cstheme="majorHAnsi"/>
              </w:rPr>
            </w:pPr>
            <w:r w:rsidRPr="00DB3574">
              <w:rPr>
                <w:rFonts w:cstheme="majorHAnsi"/>
              </w:rPr>
              <w:t>guide candidates as they utilize this material—or other guidelines—to help them clarify which approaches they will apply</w:t>
            </w:r>
          </w:p>
          <w:p w14:paraId="5CB25259" w14:textId="77777777" w:rsidR="00DB3574" w:rsidRPr="00DB3574" w:rsidRDefault="00DB3574" w:rsidP="005E27FA">
            <w:pPr>
              <w:spacing w:line="276" w:lineRule="auto"/>
              <w:rPr>
                <w:rFonts w:cstheme="majorHAnsi"/>
              </w:rPr>
            </w:pPr>
          </w:p>
          <w:p w14:paraId="400E16DE" w14:textId="77777777" w:rsidR="00DB3574" w:rsidRPr="00DB3574" w:rsidRDefault="00DB3574" w:rsidP="005E27FA">
            <w:pPr>
              <w:spacing w:line="276" w:lineRule="auto"/>
              <w:rPr>
                <w:rFonts w:cstheme="majorHAnsi"/>
              </w:rPr>
            </w:pPr>
            <w:r w:rsidRPr="00DB3574">
              <w:rPr>
                <w:rFonts w:cstheme="majorHAnsi"/>
              </w:rPr>
              <w:t xml:space="preserve">Supervisors should be familiar, or at least become familiar, with these </w:t>
            </w:r>
            <w:r w:rsidRPr="00DB3574">
              <w:rPr>
                <w:rFonts w:cstheme="majorHAnsi"/>
                <w:noProof/>
              </w:rPr>
              <w:t xml:space="preserve">theoretical perspectives, methodologies, and methods.  They might, for example, need to read a few chapters to familiarize themselves with the approaches the candidate adopts. </w:t>
            </w:r>
            <w:r w:rsidRPr="00DB3574">
              <w:rPr>
                <w:rFonts w:cstheme="majorHAnsi"/>
              </w:rPr>
              <w:t xml:space="preserve">    </w:t>
            </w:r>
          </w:p>
        </w:tc>
      </w:tr>
      <w:tr w:rsidR="00DB3574" w:rsidRPr="00DB3574" w14:paraId="71877704" w14:textId="77777777" w:rsidTr="00DB3574">
        <w:trPr>
          <w:trHeight w:val="369"/>
        </w:trPr>
        <w:tc>
          <w:tcPr>
            <w:tcW w:w="2689" w:type="dxa"/>
            <w:shd w:val="clear" w:color="auto" w:fill="D9D9D9" w:themeFill="background1" w:themeFillShade="D9"/>
          </w:tcPr>
          <w:p w14:paraId="70ACE18B" w14:textId="77777777" w:rsidR="00DB3574" w:rsidRPr="00DB3574" w:rsidRDefault="00DB3574" w:rsidP="005E27FA">
            <w:pPr>
              <w:spacing w:line="276" w:lineRule="auto"/>
              <w:rPr>
                <w:rFonts w:cstheme="majorHAnsi"/>
              </w:rPr>
            </w:pPr>
            <w:r w:rsidRPr="00DB3574">
              <w:rPr>
                <w:rFonts w:cstheme="majorHAnsi"/>
                <w:noProof/>
              </w:rPr>
              <w:lastRenderedPageBreak/>
              <w:t>Besides implementing these methodologies and methods, the candidates should also introduce a range of techniques to improve the quality of their research—techniques that are applicable to most qualitative paradigms</w:t>
            </w:r>
          </w:p>
        </w:tc>
        <w:tc>
          <w:tcPr>
            <w:tcW w:w="6950" w:type="dxa"/>
            <w:shd w:val="clear" w:color="auto" w:fill="D9D9D9" w:themeFill="background1" w:themeFillShade="D9"/>
          </w:tcPr>
          <w:p w14:paraId="33557C1F" w14:textId="77777777" w:rsidR="00DB3574" w:rsidRPr="00DB3574" w:rsidRDefault="00DB3574" w:rsidP="005E27FA">
            <w:pPr>
              <w:spacing w:line="276" w:lineRule="auto"/>
              <w:rPr>
                <w:rFonts w:cstheme="majorHAnsi"/>
              </w:rPr>
            </w:pPr>
            <w:r w:rsidRPr="00DB3574">
              <w:rPr>
                <w:rFonts w:cstheme="majorHAnsi"/>
              </w:rPr>
              <w:t xml:space="preserve">Supervisors should have read the first section of this document to familiarize themselves with these techniques and practices.  </w:t>
            </w:r>
          </w:p>
        </w:tc>
      </w:tr>
    </w:tbl>
    <w:p w14:paraId="0BF73637" w14:textId="77777777" w:rsidR="00DB3574" w:rsidRPr="00DB3574" w:rsidRDefault="00DB3574" w:rsidP="005E27FA">
      <w:pPr>
        <w:spacing w:line="276" w:lineRule="auto"/>
        <w:ind w:left="1985"/>
        <w:rPr>
          <w:rFonts w:cstheme="majorHAnsi"/>
          <w:b/>
          <w:noProof/>
          <w:szCs w:val="22"/>
        </w:rPr>
      </w:pPr>
    </w:p>
    <w:p w14:paraId="322E14DA" w14:textId="7F27CDFC" w:rsidR="00DB3574" w:rsidRPr="00DB3574" w:rsidRDefault="00DB3574" w:rsidP="005E27FA">
      <w:pPr>
        <w:spacing w:line="276" w:lineRule="auto"/>
        <w:rPr>
          <w:rFonts w:cstheme="majorHAnsi"/>
          <w:lang w:val="en-AU"/>
        </w:rPr>
      </w:pPr>
    </w:p>
    <w:p w14:paraId="351643F1" w14:textId="75CE16FF" w:rsidR="00DB3574" w:rsidRPr="00DB3574" w:rsidRDefault="00DB3574" w:rsidP="005E27FA">
      <w:pPr>
        <w:pStyle w:val="Heading2"/>
        <w:spacing w:line="276" w:lineRule="auto"/>
        <w:rPr>
          <w:rFonts w:asciiTheme="majorHAnsi" w:hAnsiTheme="majorHAnsi" w:cstheme="majorHAnsi"/>
          <w:noProof/>
        </w:rPr>
      </w:pPr>
      <w:r w:rsidRPr="00DB3574">
        <w:rPr>
          <w:rFonts w:asciiTheme="majorHAnsi" w:hAnsiTheme="majorHAnsi" w:cstheme="majorHAnsi"/>
          <w:noProof/>
        </w:rPr>
        <w:t>References</w:t>
      </w:r>
    </w:p>
    <w:p w14:paraId="7E551AE9" w14:textId="21F65A9A" w:rsidR="00DB3574" w:rsidRPr="00DB3574" w:rsidRDefault="00DB3574" w:rsidP="005E27FA">
      <w:pPr>
        <w:spacing w:line="276" w:lineRule="auto"/>
        <w:rPr>
          <w:rFonts w:cstheme="majorHAnsi"/>
          <w:lang w:val="en-AU"/>
        </w:rPr>
      </w:pPr>
    </w:p>
    <w:p w14:paraId="02FE8676" w14:textId="79791F66" w:rsidR="00DB3574" w:rsidRPr="00DB3574" w:rsidRDefault="00DB3574" w:rsidP="005E27FA">
      <w:pPr>
        <w:spacing w:line="276" w:lineRule="auto"/>
        <w:rPr>
          <w:rFonts w:cstheme="majorHAnsi"/>
          <w:lang w:val="en-AU"/>
        </w:rPr>
      </w:pPr>
    </w:p>
    <w:p w14:paraId="15E494FF" w14:textId="77777777" w:rsidR="00DB3574" w:rsidRPr="00DB3574" w:rsidRDefault="00DB3574" w:rsidP="005E27FA">
      <w:pPr>
        <w:spacing w:line="276" w:lineRule="auto"/>
        <w:rPr>
          <w:rFonts w:cstheme="majorHAnsi"/>
          <w:noProof/>
          <w:szCs w:val="22"/>
        </w:rPr>
      </w:pPr>
      <w:r w:rsidRPr="00DB3574">
        <w:rPr>
          <w:rFonts w:cstheme="majorHAnsi"/>
          <w:noProof/>
          <w:szCs w:val="22"/>
        </w:rPr>
        <w:t>Akkerman, S., Admiral, W., Brekelmans, M. and Oost, H. (2006). Auditing quality of research in social sciences. Quality and Quantity, 42 (2).</w:t>
      </w:r>
    </w:p>
    <w:p w14:paraId="7D34BE5E" w14:textId="77777777" w:rsidR="00DB3574" w:rsidRPr="00DB3574" w:rsidRDefault="00DB3574" w:rsidP="005E27FA">
      <w:pPr>
        <w:spacing w:line="276" w:lineRule="auto"/>
        <w:ind w:left="1985"/>
        <w:rPr>
          <w:rFonts w:cstheme="majorHAnsi"/>
          <w:noProof/>
          <w:szCs w:val="22"/>
        </w:rPr>
      </w:pPr>
    </w:p>
    <w:p w14:paraId="6B782424" w14:textId="77777777" w:rsidR="00DB3574" w:rsidRPr="00DB3574" w:rsidRDefault="00DB3574" w:rsidP="005E27FA">
      <w:pPr>
        <w:spacing w:line="276" w:lineRule="auto"/>
        <w:rPr>
          <w:rFonts w:cstheme="majorHAnsi"/>
          <w:noProof/>
          <w:szCs w:val="22"/>
        </w:rPr>
      </w:pPr>
      <w:r w:rsidRPr="00DB3574">
        <w:rPr>
          <w:rFonts w:cstheme="majorHAnsi"/>
          <w:noProof/>
          <w:szCs w:val="22"/>
        </w:rPr>
        <w:t>Baxter, J., &amp; Eyles, J. (1997). Evaluating qualitative research in social geography: establishing ‘rigour’ in interview analysis. Transactions of the Institute of British Geographers, 22(4), 505–525</w:t>
      </w:r>
    </w:p>
    <w:p w14:paraId="7B0F6CFD" w14:textId="77777777" w:rsidR="00DB3574" w:rsidRPr="00DB3574" w:rsidRDefault="00DB3574" w:rsidP="005E27FA">
      <w:pPr>
        <w:spacing w:line="276" w:lineRule="auto"/>
        <w:rPr>
          <w:rFonts w:cstheme="majorHAnsi"/>
          <w:noProof/>
          <w:szCs w:val="22"/>
        </w:rPr>
      </w:pPr>
    </w:p>
    <w:p w14:paraId="19D5261D" w14:textId="77777777" w:rsidR="00DB3574" w:rsidRPr="00DB3574" w:rsidRDefault="00DB3574" w:rsidP="005E27FA">
      <w:pPr>
        <w:spacing w:line="276" w:lineRule="auto"/>
        <w:rPr>
          <w:rFonts w:cstheme="majorHAnsi"/>
          <w:noProof/>
          <w:szCs w:val="22"/>
        </w:rPr>
      </w:pPr>
      <w:r w:rsidRPr="00DB3574">
        <w:rPr>
          <w:rFonts w:cstheme="majorHAnsi"/>
          <w:noProof/>
          <w:szCs w:val="22"/>
        </w:rPr>
        <w:t xml:space="preserve">Bouma, G. D., &amp; Atkinson, G. B. J. (1995).  A handbook of social science research, 2nd ed. Oxford: Oxford University Press. </w:t>
      </w:r>
    </w:p>
    <w:p w14:paraId="2123F849" w14:textId="77777777" w:rsidR="00DB3574" w:rsidRPr="00DB3574" w:rsidRDefault="00DB3574" w:rsidP="005E27FA">
      <w:pPr>
        <w:spacing w:line="276" w:lineRule="auto"/>
        <w:rPr>
          <w:rFonts w:cstheme="majorHAnsi"/>
          <w:noProof/>
          <w:szCs w:val="22"/>
        </w:rPr>
      </w:pPr>
      <w:r w:rsidRPr="00DB3574">
        <w:rPr>
          <w:rFonts w:cstheme="majorHAnsi"/>
          <w:noProof/>
          <w:szCs w:val="22"/>
        </w:rPr>
        <w:t>.</w:t>
      </w:r>
    </w:p>
    <w:p w14:paraId="7BF8C283" w14:textId="77777777" w:rsidR="00DB3574" w:rsidRPr="00DB3574" w:rsidRDefault="00DB3574" w:rsidP="005E27FA">
      <w:pPr>
        <w:spacing w:line="276" w:lineRule="auto"/>
        <w:rPr>
          <w:rFonts w:cstheme="majorHAnsi"/>
          <w:noProof/>
          <w:szCs w:val="22"/>
        </w:rPr>
      </w:pPr>
      <w:r w:rsidRPr="00DB3574">
        <w:rPr>
          <w:rFonts w:cstheme="majorHAnsi"/>
          <w:noProof/>
          <w:szCs w:val="22"/>
        </w:rPr>
        <w:t>Boyatzis, R. E. (1998). Transforming qualitative information: Thematic analysis and code development. Sage.</w:t>
      </w:r>
    </w:p>
    <w:p w14:paraId="114B0C0F" w14:textId="77777777" w:rsidR="00DB3574" w:rsidRPr="00DB3574" w:rsidRDefault="00DB3574" w:rsidP="005E27FA">
      <w:pPr>
        <w:spacing w:line="276" w:lineRule="auto"/>
        <w:rPr>
          <w:rFonts w:cstheme="majorHAnsi"/>
          <w:noProof/>
          <w:szCs w:val="22"/>
        </w:rPr>
      </w:pPr>
    </w:p>
    <w:p w14:paraId="071A67A8" w14:textId="77777777" w:rsidR="00DB3574" w:rsidRPr="00DB3574" w:rsidRDefault="00DB3574" w:rsidP="005E27FA">
      <w:pPr>
        <w:spacing w:line="276" w:lineRule="auto"/>
        <w:rPr>
          <w:rFonts w:cstheme="majorHAnsi"/>
          <w:noProof/>
          <w:szCs w:val="22"/>
        </w:rPr>
      </w:pPr>
      <w:r w:rsidRPr="00DB3574">
        <w:rPr>
          <w:rFonts w:cstheme="majorHAnsi"/>
          <w:noProof/>
          <w:szCs w:val="22"/>
        </w:rPr>
        <w:t>Braun, V., &amp; Clarke, V. (2006). Using thematic analysis in psychology.  Qualitative Research in Psychology, 3, 77-101.</w:t>
      </w:r>
    </w:p>
    <w:p w14:paraId="1B074118" w14:textId="77777777" w:rsidR="00DB3574" w:rsidRPr="00DB3574" w:rsidRDefault="00DB3574" w:rsidP="005E27FA">
      <w:pPr>
        <w:spacing w:line="276" w:lineRule="auto"/>
        <w:rPr>
          <w:rFonts w:cstheme="majorHAnsi"/>
          <w:noProof/>
          <w:szCs w:val="22"/>
        </w:rPr>
      </w:pPr>
    </w:p>
    <w:p w14:paraId="0058FDE1" w14:textId="77777777" w:rsidR="00DB3574" w:rsidRPr="00DB3574" w:rsidRDefault="00DB3574" w:rsidP="005E27FA">
      <w:pPr>
        <w:spacing w:line="276" w:lineRule="auto"/>
        <w:rPr>
          <w:rFonts w:cstheme="majorHAnsi"/>
          <w:noProof/>
          <w:szCs w:val="22"/>
        </w:rPr>
      </w:pPr>
      <w:r w:rsidRPr="00DB3574">
        <w:rPr>
          <w:rFonts w:cstheme="majorHAnsi"/>
          <w:noProof/>
          <w:szCs w:val="22"/>
        </w:rPr>
        <w:t>Brewer, J., &amp; Hunter, A. (1989). Multimethod research: A synthesis of styles. Newbury Park: Sage Library of Social Research Series, Vol. 175.</w:t>
      </w:r>
    </w:p>
    <w:p w14:paraId="71105124" w14:textId="57C6C4B3" w:rsidR="00DB3574" w:rsidRDefault="00DB3574" w:rsidP="005E27FA">
      <w:pPr>
        <w:spacing w:line="276" w:lineRule="auto"/>
        <w:rPr>
          <w:rFonts w:cstheme="majorHAnsi"/>
          <w:noProof/>
          <w:szCs w:val="22"/>
        </w:rPr>
      </w:pPr>
    </w:p>
    <w:p w14:paraId="7F74E908" w14:textId="1D63ADD2" w:rsidR="00E04EC0" w:rsidRDefault="00E04EC0" w:rsidP="005E27FA">
      <w:pPr>
        <w:spacing w:line="276" w:lineRule="auto"/>
        <w:rPr>
          <w:rFonts w:cstheme="majorHAnsi"/>
          <w:noProof/>
          <w:szCs w:val="22"/>
        </w:rPr>
      </w:pPr>
      <w:r w:rsidRPr="00E04EC0">
        <w:rPr>
          <w:rFonts w:cstheme="majorHAnsi"/>
          <w:noProof/>
          <w:szCs w:val="22"/>
        </w:rPr>
        <w:lastRenderedPageBreak/>
        <w:t>Campbell, K. S. (1999). Collecting information: Qualitative research methods for solving workplace problems. Technical communication, 46(4), 532-545.</w:t>
      </w:r>
    </w:p>
    <w:p w14:paraId="14100B5D" w14:textId="77777777" w:rsidR="00E04EC0" w:rsidRDefault="00E04EC0" w:rsidP="005E27FA">
      <w:pPr>
        <w:spacing w:line="276" w:lineRule="auto"/>
        <w:rPr>
          <w:rFonts w:cstheme="majorHAnsi"/>
          <w:noProof/>
          <w:szCs w:val="22"/>
        </w:rPr>
      </w:pPr>
    </w:p>
    <w:p w14:paraId="04847042" w14:textId="72144A99" w:rsidR="003E0428" w:rsidRDefault="003E0428" w:rsidP="005E27FA">
      <w:pPr>
        <w:spacing w:line="276" w:lineRule="auto"/>
        <w:rPr>
          <w:rFonts w:cstheme="majorHAnsi"/>
          <w:noProof/>
          <w:szCs w:val="22"/>
        </w:rPr>
      </w:pPr>
      <w:r w:rsidRPr="003E0428">
        <w:rPr>
          <w:rFonts w:cstheme="majorHAnsi"/>
          <w:noProof/>
          <w:szCs w:val="22"/>
        </w:rPr>
        <w:t>Castillo, E. A., &amp; Jones, J. A. (2020). The paradox of growth and giving: Critical case sampling to illuminate the catalytic potential of an underresearched phenomenon. International Journal of Nonprofit and Voluntary Sector Marketing, 25(1), e1648.</w:t>
      </w:r>
    </w:p>
    <w:p w14:paraId="0F7ED5DB" w14:textId="77777777" w:rsidR="003E0428" w:rsidRPr="00DB3574" w:rsidRDefault="003E0428" w:rsidP="005E27FA">
      <w:pPr>
        <w:spacing w:line="276" w:lineRule="auto"/>
        <w:rPr>
          <w:rFonts w:cstheme="majorHAnsi"/>
          <w:noProof/>
          <w:szCs w:val="22"/>
        </w:rPr>
      </w:pPr>
    </w:p>
    <w:p w14:paraId="1A05B8F5" w14:textId="77777777" w:rsidR="00DB3574" w:rsidRPr="00DB3574" w:rsidRDefault="00DB3574" w:rsidP="005E27FA">
      <w:pPr>
        <w:spacing w:line="276" w:lineRule="auto"/>
        <w:rPr>
          <w:rFonts w:cstheme="majorHAnsi"/>
          <w:noProof/>
          <w:szCs w:val="22"/>
        </w:rPr>
      </w:pPr>
      <w:r w:rsidRPr="00DB3574">
        <w:rPr>
          <w:rFonts w:cstheme="majorHAnsi"/>
          <w:noProof/>
          <w:szCs w:val="22"/>
        </w:rPr>
        <w:t>Creswell, J. W. (2011). Research Design (3rd [South East Asian Ed.] ed.). New Delhi: Sage.</w:t>
      </w:r>
    </w:p>
    <w:p w14:paraId="68956000" w14:textId="0F14D14D" w:rsidR="00DB3574" w:rsidRDefault="00DB3574" w:rsidP="005E27FA">
      <w:pPr>
        <w:spacing w:line="276" w:lineRule="auto"/>
        <w:rPr>
          <w:rFonts w:cstheme="majorHAnsi"/>
          <w:noProof/>
          <w:szCs w:val="22"/>
        </w:rPr>
      </w:pPr>
    </w:p>
    <w:p w14:paraId="2CAE38D6" w14:textId="0646BC68" w:rsidR="00334BDD" w:rsidRDefault="00334BDD" w:rsidP="005E27FA">
      <w:pPr>
        <w:spacing w:line="276" w:lineRule="auto"/>
        <w:rPr>
          <w:rFonts w:cstheme="majorHAnsi"/>
          <w:noProof/>
          <w:szCs w:val="22"/>
        </w:rPr>
      </w:pPr>
      <w:r w:rsidRPr="00334BDD">
        <w:rPr>
          <w:rFonts w:cstheme="majorHAnsi"/>
          <w:noProof/>
          <w:szCs w:val="22"/>
        </w:rPr>
        <w:t>Etikan, I., Musa, S. A., &amp; Alkassim, R. S. (2016). Comparison of convenience sampling and purposive sampling. American journal of theoretical and applied statistics, 5(1), 1-4.</w:t>
      </w:r>
    </w:p>
    <w:p w14:paraId="62B69D1F" w14:textId="77777777" w:rsidR="00334BDD" w:rsidRPr="00DB3574" w:rsidRDefault="00334BDD" w:rsidP="005E27FA">
      <w:pPr>
        <w:spacing w:line="276" w:lineRule="auto"/>
        <w:rPr>
          <w:rFonts w:cstheme="majorHAnsi"/>
          <w:noProof/>
          <w:szCs w:val="22"/>
        </w:rPr>
      </w:pPr>
    </w:p>
    <w:p w14:paraId="4590C767" w14:textId="77777777" w:rsidR="00DB3574" w:rsidRPr="00DB3574" w:rsidRDefault="00DB3574" w:rsidP="005E27FA">
      <w:pPr>
        <w:spacing w:line="276" w:lineRule="auto"/>
        <w:rPr>
          <w:rFonts w:cstheme="majorHAnsi"/>
          <w:noProof/>
          <w:szCs w:val="22"/>
        </w:rPr>
      </w:pPr>
      <w:r w:rsidRPr="00DB3574">
        <w:rPr>
          <w:rFonts w:cstheme="majorHAnsi"/>
          <w:noProof/>
          <w:szCs w:val="22"/>
        </w:rPr>
        <w:t>Fusch, P. I., &amp; Ness, L. R. (2015).  Are we there yet? Data saturation in qualitative research.  Qualitative Report, 20(9), 1408-1416.</w:t>
      </w:r>
    </w:p>
    <w:p w14:paraId="5E3E875E" w14:textId="77777777" w:rsidR="00DB3574" w:rsidRPr="00DB3574" w:rsidRDefault="00DB3574" w:rsidP="005E27FA">
      <w:pPr>
        <w:spacing w:line="276" w:lineRule="auto"/>
        <w:rPr>
          <w:rFonts w:cstheme="majorHAnsi"/>
          <w:noProof/>
          <w:szCs w:val="22"/>
        </w:rPr>
      </w:pPr>
    </w:p>
    <w:p w14:paraId="1FDC0FE5" w14:textId="77777777" w:rsidR="00DB3574" w:rsidRPr="00DB3574" w:rsidRDefault="00DB3574" w:rsidP="005E27FA">
      <w:pPr>
        <w:spacing w:line="276" w:lineRule="auto"/>
        <w:rPr>
          <w:rFonts w:cstheme="majorHAnsi"/>
          <w:noProof/>
          <w:szCs w:val="22"/>
        </w:rPr>
      </w:pPr>
      <w:r w:rsidRPr="00DB3574">
        <w:rPr>
          <w:rFonts w:cstheme="majorHAnsi"/>
          <w:noProof/>
          <w:szCs w:val="22"/>
        </w:rPr>
        <w:t>Giorgi, A. (2009).  The descriptive phenomenological method in psychology: A modified Husserlian approach.  Pittsburgh, Pennsylvania: Duquesne University Press.</w:t>
      </w:r>
    </w:p>
    <w:p w14:paraId="585A8980" w14:textId="77777777" w:rsidR="00DB3574" w:rsidRPr="00DB3574" w:rsidRDefault="00DB3574" w:rsidP="005E27FA">
      <w:pPr>
        <w:spacing w:line="276" w:lineRule="auto"/>
        <w:rPr>
          <w:rFonts w:cstheme="majorHAnsi"/>
          <w:noProof/>
          <w:szCs w:val="22"/>
        </w:rPr>
      </w:pPr>
    </w:p>
    <w:p w14:paraId="2459CE04" w14:textId="77777777" w:rsidR="00DB3574" w:rsidRPr="00DB3574" w:rsidRDefault="00DB3574" w:rsidP="005E27FA">
      <w:pPr>
        <w:spacing w:line="276" w:lineRule="auto"/>
        <w:rPr>
          <w:rFonts w:cstheme="majorHAnsi"/>
          <w:noProof/>
          <w:szCs w:val="22"/>
        </w:rPr>
      </w:pPr>
      <w:r w:rsidRPr="00DB3574">
        <w:rPr>
          <w:rFonts w:cstheme="majorHAnsi"/>
          <w:noProof/>
          <w:szCs w:val="22"/>
        </w:rPr>
        <w:t>Hoepfl, M.C. (1997). Choosing qualitative research: a primer for technology education researchers. Journal of Technology Education, 9, (1).</w:t>
      </w:r>
    </w:p>
    <w:p w14:paraId="2441331E" w14:textId="77777777" w:rsidR="00DB3574" w:rsidRPr="00DB3574" w:rsidRDefault="00DB3574" w:rsidP="005E27FA">
      <w:pPr>
        <w:spacing w:line="276" w:lineRule="auto"/>
        <w:rPr>
          <w:rFonts w:cstheme="majorHAnsi"/>
          <w:noProof/>
          <w:szCs w:val="22"/>
        </w:rPr>
      </w:pPr>
    </w:p>
    <w:p w14:paraId="7452BA32" w14:textId="77777777" w:rsidR="00DB3574" w:rsidRPr="00DB3574" w:rsidRDefault="00DB3574" w:rsidP="005E27FA">
      <w:pPr>
        <w:spacing w:line="276" w:lineRule="auto"/>
        <w:rPr>
          <w:rFonts w:cstheme="majorHAnsi"/>
          <w:noProof/>
          <w:szCs w:val="22"/>
        </w:rPr>
      </w:pPr>
      <w:r w:rsidRPr="00DB3574">
        <w:rPr>
          <w:rFonts w:cstheme="majorHAnsi"/>
          <w:noProof/>
          <w:szCs w:val="22"/>
        </w:rPr>
        <w:t>Koch, T. (2006). Establishing rigour in Qualitative Research: the decision trail. Journal of Advanced Nursing. 53, (1), 91-103.</w:t>
      </w:r>
    </w:p>
    <w:p w14:paraId="24BE0820" w14:textId="77777777" w:rsidR="00DB3574" w:rsidRPr="00DB3574" w:rsidRDefault="00DB3574" w:rsidP="005E27FA">
      <w:pPr>
        <w:spacing w:line="276" w:lineRule="auto"/>
        <w:rPr>
          <w:rFonts w:cstheme="majorHAnsi"/>
          <w:noProof/>
          <w:szCs w:val="22"/>
        </w:rPr>
      </w:pPr>
    </w:p>
    <w:p w14:paraId="294A861F" w14:textId="77777777" w:rsidR="00DB3574" w:rsidRPr="00DB3574" w:rsidRDefault="00DB3574" w:rsidP="005E27FA">
      <w:pPr>
        <w:spacing w:line="276" w:lineRule="auto"/>
        <w:rPr>
          <w:rFonts w:cstheme="majorHAnsi"/>
          <w:noProof/>
          <w:szCs w:val="22"/>
        </w:rPr>
      </w:pPr>
      <w:r w:rsidRPr="00DB3574">
        <w:rPr>
          <w:rFonts w:cstheme="majorHAnsi"/>
          <w:noProof/>
          <w:szCs w:val="22"/>
        </w:rPr>
        <w:t>Lincoln, Y.S. (1995). Emerging criteria for quality in qualitative and interpretive</w:t>
      </w:r>
    </w:p>
    <w:p w14:paraId="2B082C94" w14:textId="77777777" w:rsidR="00DB3574" w:rsidRPr="00DB3574" w:rsidRDefault="00DB3574" w:rsidP="005E27FA">
      <w:pPr>
        <w:spacing w:line="276" w:lineRule="auto"/>
        <w:rPr>
          <w:rFonts w:cstheme="majorHAnsi"/>
          <w:noProof/>
          <w:szCs w:val="22"/>
        </w:rPr>
      </w:pPr>
      <w:r w:rsidRPr="00DB3574">
        <w:rPr>
          <w:rFonts w:cstheme="majorHAnsi"/>
          <w:noProof/>
          <w:szCs w:val="22"/>
        </w:rPr>
        <w:t>research. Qualitative Inquiry, 1, 275–289.</w:t>
      </w:r>
    </w:p>
    <w:p w14:paraId="73A2F105" w14:textId="77777777" w:rsidR="00DB3574" w:rsidRPr="00DB3574" w:rsidRDefault="00DB3574" w:rsidP="005E27FA">
      <w:pPr>
        <w:spacing w:line="276" w:lineRule="auto"/>
        <w:rPr>
          <w:rFonts w:cstheme="majorHAnsi"/>
          <w:noProof/>
          <w:szCs w:val="22"/>
        </w:rPr>
      </w:pPr>
    </w:p>
    <w:p w14:paraId="4D05430E" w14:textId="77777777" w:rsidR="00DB3574" w:rsidRPr="00DB3574" w:rsidRDefault="00DB3574" w:rsidP="005E27FA">
      <w:pPr>
        <w:spacing w:line="276" w:lineRule="auto"/>
        <w:rPr>
          <w:rFonts w:cstheme="majorHAnsi"/>
          <w:noProof/>
          <w:szCs w:val="22"/>
        </w:rPr>
      </w:pPr>
      <w:r w:rsidRPr="00DB3574">
        <w:rPr>
          <w:rFonts w:cstheme="majorHAnsi"/>
          <w:noProof/>
          <w:szCs w:val="22"/>
        </w:rPr>
        <w:t>Lincoln, Y.S. and Guba, E.G. (1985). Naturalistic Inquiry. Sage Publications, Newbury Park.</w:t>
      </w:r>
    </w:p>
    <w:p w14:paraId="5DEA3BD6" w14:textId="6E4F65D6" w:rsidR="00DB3574" w:rsidRDefault="00DB3574" w:rsidP="005E27FA">
      <w:pPr>
        <w:spacing w:line="276" w:lineRule="auto"/>
        <w:rPr>
          <w:rFonts w:cstheme="majorHAnsi"/>
          <w:noProof/>
          <w:szCs w:val="22"/>
        </w:rPr>
      </w:pPr>
    </w:p>
    <w:p w14:paraId="7E067314" w14:textId="1F9200E2" w:rsidR="00DB3574" w:rsidRPr="00DB3574" w:rsidRDefault="009C3D08" w:rsidP="009C3D08">
      <w:pPr>
        <w:spacing w:line="276" w:lineRule="auto"/>
        <w:rPr>
          <w:rFonts w:cstheme="majorHAnsi"/>
          <w:noProof/>
          <w:szCs w:val="22"/>
        </w:rPr>
      </w:pPr>
      <w:r w:rsidRPr="009C3D08">
        <w:rPr>
          <w:rFonts w:cstheme="majorHAnsi"/>
          <w:noProof/>
          <w:szCs w:val="22"/>
        </w:rPr>
        <w:t>Littig, B. (2009). Interviewing the elite—interviewing experts: is there a difference?. In Interviewing experts (pp. 98-113). Palgrave Macmillan, London.</w:t>
      </w:r>
    </w:p>
    <w:p w14:paraId="5879CD83" w14:textId="77777777" w:rsidR="00DB3574" w:rsidRPr="00DB3574" w:rsidRDefault="00DB3574" w:rsidP="005E27FA">
      <w:pPr>
        <w:spacing w:line="276" w:lineRule="auto"/>
        <w:rPr>
          <w:rFonts w:cstheme="majorHAnsi"/>
          <w:noProof/>
          <w:szCs w:val="22"/>
        </w:rPr>
      </w:pPr>
    </w:p>
    <w:p w14:paraId="53CDEF2F" w14:textId="77777777" w:rsidR="00DB3574" w:rsidRPr="00DB3574" w:rsidRDefault="00DB3574" w:rsidP="005E27FA">
      <w:pPr>
        <w:spacing w:line="276" w:lineRule="auto"/>
        <w:rPr>
          <w:rFonts w:cstheme="majorHAnsi"/>
          <w:noProof/>
          <w:szCs w:val="22"/>
        </w:rPr>
      </w:pPr>
      <w:r w:rsidRPr="00DB3574">
        <w:rPr>
          <w:rFonts w:cstheme="majorHAnsi"/>
          <w:noProof/>
          <w:szCs w:val="22"/>
        </w:rPr>
        <w:t>Miles, M.B., &amp; Huberman, A.M. (1994). Qualitative data analysis: An expanded sourcebook, 2nd ed.  California: Sage.</w:t>
      </w:r>
    </w:p>
    <w:p w14:paraId="1E5DBAB0" w14:textId="77777777" w:rsidR="00DB3574" w:rsidRPr="00DB3574" w:rsidRDefault="00DB3574" w:rsidP="005E27FA">
      <w:pPr>
        <w:spacing w:line="276" w:lineRule="auto"/>
        <w:rPr>
          <w:rFonts w:cstheme="majorHAnsi"/>
          <w:noProof/>
          <w:szCs w:val="22"/>
        </w:rPr>
      </w:pPr>
    </w:p>
    <w:p w14:paraId="0CCFB8E6" w14:textId="77777777" w:rsidR="00DB3574" w:rsidRPr="00DB3574" w:rsidRDefault="00DB3574" w:rsidP="005E27FA">
      <w:pPr>
        <w:spacing w:line="276" w:lineRule="auto"/>
        <w:rPr>
          <w:rFonts w:cstheme="majorHAnsi"/>
          <w:noProof/>
          <w:szCs w:val="22"/>
        </w:rPr>
      </w:pPr>
      <w:r w:rsidRPr="00DB3574">
        <w:rPr>
          <w:rFonts w:cstheme="majorHAnsi"/>
          <w:noProof/>
          <w:szCs w:val="22"/>
        </w:rPr>
        <w:t>Moustakas, C. (1994). Phenomenological research methods. Thousand Oaks: Sage Publications.</w:t>
      </w:r>
    </w:p>
    <w:p w14:paraId="665FBFDF" w14:textId="77777777" w:rsidR="00C21416" w:rsidRDefault="00C21416" w:rsidP="009C3D08">
      <w:pPr>
        <w:spacing w:line="276" w:lineRule="auto"/>
        <w:rPr>
          <w:rFonts w:cstheme="majorHAnsi"/>
          <w:noProof/>
          <w:szCs w:val="22"/>
        </w:rPr>
      </w:pPr>
    </w:p>
    <w:p w14:paraId="7B6BC772" w14:textId="4CC2C080" w:rsidR="009C3D08" w:rsidRDefault="009C3D08" w:rsidP="009C3D08">
      <w:pPr>
        <w:spacing w:line="276" w:lineRule="auto"/>
        <w:rPr>
          <w:rFonts w:cstheme="majorHAnsi"/>
          <w:noProof/>
          <w:szCs w:val="22"/>
        </w:rPr>
      </w:pPr>
      <w:r w:rsidRPr="009C3D08">
        <w:rPr>
          <w:rFonts w:cstheme="majorHAnsi"/>
          <w:noProof/>
          <w:szCs w:val="22"/>
        </w:rPr>
        <w:t>Merriman, S. B. (2009).  Qualitative research: A guide to design and implementation. San Francisco: Jossey-Bass.</w:t>
      </w:r>
    </w:p>
    <w:p w14:paraId="6995B663" w14:textId="77777777" w:rsidR="00C21416" w:rsidRDefault="00C21416" w:rsidP="00C21416">
      <w:pPr>
        <w:spacing w:line="276" w:lineRule="auto"/>
        <w:rPr>
          <w:rFonts w:cstheme="majorHAnsi"/>
          <w:noProof/>
          <w:szCs w:val="22"/>
        </w:rPr>
      </w:pPr>
    </w:p>
    <w:p w14:paraId="2F82E508" w14:textId="77777777" w:rsidR="00C21416" w:rsidRPr="009C3D08" w:rsidRDefault="00C21416" w:rsidP="00C21416">
      <w:pPr>
        <w:spacing w:line="276" w:lineRule="auto"/>
        <w:rPr>
          <w:rFonts w:cstheme="majorHAnsi"/>
          <w:noProof/>
          <w:szCs w:val="22"/>
        </w:rPr>
      </w:pPr>
      <w:r w:rsidRPr="009C3D08">
        <w:rPr>
          <w:rFonts w:cstheme="majorHAnsi"/>
          <w:noProof/>
          <w:szCs w:val="22"/>
        </w:rPr>
        <w:t>Pfadenhauer, M. (2009). At eye level: the expert interview—a talk between expert and quasi-expert. In Interviewing experts (pp. 81-97). Palgrave Macmillan, London.</w:t>
      </w:r>
    </w:p>
    <w:p w14:paraId="0572690E" w14:textId="77777777" w:rsidR="009C3D08" w:rsidRPr="00DB3574" w:rsidRDefault="009C3D08" w:rsidP="009C3D08">
      <w:pPr>
        <w:spacing w:line="276" w:lineRule="auto"/>
        <w:rPr>
          <w:rFonts w:cstheme="majorHAnsi"/>
          <w:noProof/>
          <w:szCs w:val="22"/>
        </w:rPr>
      </w:pPr>
    </w:p>
    <w:p w14:paraId="2D963AAD" w14:textId="77777777" w:rsidR="00DB3574" w:rsidRPr="00DB3574" w:rsidRDefault="00DB3574" w:rsidP="005E27FA">
      <w:pPr>
        <w:spacing w:line="276" w:lineRule="auto"/>
        <w:rPr>
          <w:rFonts w:cstheme="majorHAnsi"/>
          <w:noProof/>
          <w:szCs w:val="22"/>
        </w:rPr>
      </w:pPr>
      <w:r w:rsidRPr="00DB3574">
        <w:rPr>
          <w:rFonts w:cstheme="majorHAnsi"/>
          <w:noProof/>
          <w:szCs w:val="22"/>
        </w:rPr>
        <w:lastRenderedPageBreak/>
        <w:t>Rolls, L., &amp; Relf, M. (2006). Bracketing interviews: Addressing methodological challenges in qualitative interviewing in bereavement and palliative care. Mortality, 11(3), 286-305.</w:t>
      </w:r>
    </w:p>
    <w:p w14:paraId="7755BB63" w14:textId="77777777" w:rsidR="00DB3574" w:rsidRPr="00DB3574" w:rsidRDefault="00DB3574" w:rsidP="005E27FA">
      <w:pPr>
        <w:spacing w:line="276" w:lineRule="auto"/>
        <w:rPr>
          <w:rFonts w:cstheme="majorHAnsi"/>
          <w:noProof/>
          <w:szCs w:val="22"/>
        </w:rPr>
      </w:pPr>
    </w:p>
    <w:p w14:paraId="2F02BC2D" w14:textId="77777777" w:rsidR="00DB3574" w:rsidRPr="00DB3574" w:rsidRDefault="00DB3574" w:rsidP="005E27FA">
      <w:pPr>
        <w:spacing w:line="276" w:lineRule="auto"/>
        <w:rPr>
          <w:rFonts w:cstheme="majorHAnsi"/>
          <w:noProof/>
          <w:szCs w:val="22"/>
        </w:rPr>
      </w:pPr>
      <w:r w:rsidRPr="00DB3574">
        <w:rPr>
          <w:rFonts w:cstheme="majorHAnsi"/>
          <w:noProof/>
          <w:szCs w:val="22"/>
        </w:rPr>
        <w:t xml:space="preserve">Roulston, K. (2001). Data analysis and 'theorizing as ideology'. Qualitative Research, 1, 279-302. </w:t>
      </w:r>
    </w:p>
    <w:p w14:paraId="16F9E3E4" w14:textId="737F7D39" w:rsidR="00DB3574" w:rsidRDefault="00DB3574" w:rsidP="005E27FA">
      <w:pPr>
        <w:spacing w:line="276" w:lineRule="auto"/>
        <w:rPr>
          <w:rFonts w:cstheme="majorHAnsi"/>
          <w:noProof/>
          <w:szCs w:val="22"/>
        </w:rPr>
      </w:pPr>
    </w:p>
    <w:p w14:paraId="7CF3E512" w14:textId="7C3E3208" w:rsidR="00657306" w:rsidRDefault="00657306" w:rsidP="005E27FA">
      <w:pPr>
        <w:spacing w:line="276" w:lineRule="auto"/>
        <w:rPr>
          <w:rFonts w:cstheme="majorHAnsi"/>
          <w:noProof/>
          <w:szCs w:val="22"/>
        </w:rPr>
      </w:pPr>
      <w:r w:rsidRPr="00657306">
        <w:rPr>
          <w:rFonts w:cstheme="majorHAnsi"/>
          <w:noProof/>
          <w:szCs w:val="22"/>
        </w:rPr>
        <w:t>Seawright, J. (2016). The case for selecting cases that are deviant or extreme on the independent variable. Sociological Methods &amp; Research, 45(3), 493-525.</w:t>
      </w:r>
    </w:p>
    <w:p w14:paraId="79125B75" w14:textId="77777777" w:rsidR="00657306" w:rsidRPr="00DB3574" w:rsidRDefault="00657306" w:rsidP="005E27FA">
      <w:pPr>
        <w:spacing w:line="276" w:lineRule="auto"/>
        <w:rPr>
          <w:rFonts w:cstheme="majorHAnsi"/>
          <w:noProof/>
          <w:szCs w:val="22"/>
        </w:rPr>
      </w:pPr>
    </w:p>
    <w:p w14:paraId="0BA857A1" w14:textId="77777777" w:rsidR="00DB3574" w:rsidRPr="00DB3574" w:rsidRDefault="00DB3574" w:rsidP="005E27FA">
      <w:pPr>
        <w:spacing w:line="276" w:lineRule="auto"/>
        <w:rPr>
          <w:rFonts w:cstheme="majorHAnsi"/>
          <w:noProof/>
          <w:szCs w:val="22"/>
        </w:rPr>
      </w:pPr>
      <w:r w:rsidRPr="00DB3574">
        <w:rPr>
          <w:rFonts w:cstheme="majorHAnsi"/>
          <w:noProof/>
          <w:szCs w:val="22"/>
        </w:rPr>
        <w:t>Shenton, A. K. (2004). Strategies for ensuring trustworthiness in qualitative research projects.  Education for Information, 22, 63-75 63.</w:t>
      </w:r>
    </w:p>
    <w:p w14:paraId="54367EFF" w14:textId="77777777" w:rsidR="00DB3574" w:rsidRPr="00DB3574" w:rsidRDefault="00DB3574" w:rsidP="005E27FA">
      <w:pPr>
        <w:spacing w:line="276" w:lineRule="auto"/>
        <w:rPr>
          <w:rFonts w:cstheme="majorHAnsi"/>
          <w:noProof/>
          <w:szCs w:val="22"/>
        </w:rPr>
      </w:pPr>
    </w:p>
    <w:p w14:paraId="49B2EFBA" w14:textId="77777777" w:rsidR="00DB3574" w:rsidRPr="00DB3574" w:rsidRDefault="00DB3574" w:rsidP="005E27FA">
      <w:pPr>
        <w:spacing w:line="276" w:lineRule="auto"/>
        <w:rPr>
          <w:rFonts w:cstheme="majorHAnsi"/>
          <w:noProof/>
          <w:szCs w:val="22"/>
        </w:rPr>
      </w:pPr>
      <w:r w:rsidRPr="00DB3574">
        <w:rPr>
          <w:rFonts w:cstheme="majorHAnsi"/>
          <w:noProof/>
          <w:szCs w:val="22"/>
        </w:rPr>
        <w:t>Silverman, D. (2000).  Doing qualitative research: A practical handbook, London: Sage.</w:t>
      </w:r>
    </w:p>
    <w:p w14:paraId="70A38C68" w14:textId="77777777" w:rsidR="00DB3574" w:rsidRPr="00DB3574" w:rsidRDefault="00DB3574" w:rsidP="005E27FA">
      <w:pPr>
        <w:spacing w:line="276" w:lineRule="auto"/>
        <w:rPr>
          <w:rFonts w:cstheme="majorHAnsi"/>
          <w:noProof/>
          <w:szCs w:val="22"/>
        </w:rPr>
      </w:pPr>
      <w:r w:rsidRPr="00DB3574">
        <w:rPr>
          <w:rFonts w:cstheme="majorHAnsi"/>
          <w:noProof/>
          <w:szCs w:val="22"/>
        </w:rPr>
        <w:t xml:space="preserve"> </w:t>
      </w:r>
    </w:p>
    <w:p w14:paraId="4D4E69D1" w14:textId="77777777" w:rsidR="00DB3574" w:rsidRPr="00DB3574" w:rsidRDefault="00DB3574" w:rsidP="005E27FA">
      <w:pPr>
        <w:spacing w:line="276" w:lineRule="auto"/>
        <w:rPr>
          <w:rFonts w:cstheme="majorHAnsi"/>
          <w:noProof/>
          <w:szCs w:val="22"/>
        </w:rPr>
      </w:pPr>
      <w:r w:rsidRPr="00DB3574">
        <w:rPr>
          <w:rFonts w:cstheme="majorHAnsi"/>
          <w:noProof/>
          <w:szCs w:val="22"/>
        </w:rPr>
        <w:t>Starks, H. and Trinidad, S. B. (2007). Choose your method: A comparison of phenomenology, discourse analysis, and grounded theory. Qualitative Health Research, 17(10), 1372–80.</w:t>
      </w:r>
    </w:p>
    <w:p w14:paraId="543E5077" w14:textId="6DA6AEBD" w:rsidR="00DB3574" w:rsidRDefault="00DB3574" w:rsidP="005E27FA">
      <w:pPr>
        <w:spacing w:line="276" w:lineRule="auto"/>
        <w:rPr>
          <w:rFonts w:cstheme="majorHAnsi"/>
          <w:noProof/>
          <w:szCs w:val="22"/>
        </w:rPr>
      </w:pPr>
    </w:p>
    <w:p w14:paraId="2E8A7E13" w14:textId="51FF41ED" w:rsidR="005D0F4F" w:rsidRDefault="005D0F4F" w:rsidP="005E27FA">
      <w:pPr>
        <w:spacing w:line="276" w:lineRule="auto"/>
        <w:rPr>
          <w:rFonts w:cstheme="majorHAnsi"/>
          <w:noProof/>
          <w:szCs w:val="22"/>
        </w:rPr>
      </w:pPr>
      <w:r w:rsidRPr="005D0F4F">
        <w:rPr>
          <w:rFonts w:cstheme="majorHAnsi"/>
          <w:noProof/>
          <w:szCs w:val="22"/>
        </w:rPr>
        <w:t>Teddlie, C., &amp; Yu, F. (2007). Mixed methods sampling: A typology with examples. Journal of mixed methods research, 1(1), 77-100.</w:t>
      </w:r>
    </w:p>
    <w:p w14:paraId="4890FB92" w14:textId="77777777" w:rsidR="005D0F4F" w:rsidRPr="00DB3574" w:rsidRDefault="005D0F4F" w:rsidP="005E27FA">
      <w:pPr>
        <w:spacing w:line="276" w:lineRule="auto"/>
        <w:rPr>
          <w:rFonts w:cstheme="majorHAnsi"/>
          <w:noProof/>
          <w:szCs w:val="22"/>
        </w:rPr>
      </w:pPr>
    </w:p>
    <w:p w14:paraId="3DD374F9" w14:textId="53400362" w:rsidR="00C7327B" w:rsidRDefault="00DB3574" w:rsidP="005E27FA">
      <w:pPr>
        <w:spacing w:line="276" w:lineRule="auto"/>
        <w:rPr>
          <w:rFonts w:cstheme="majorHAnsi"/>
          <w:noProof/>
          <w:szCs w:val="22"/>
        </w:rPr>
      </w:pPr>
      <w:r w:rsidRPr="00DB3574">
        <w:rPr>
          <w:rFonts w:cstheme="majorHAnsi"/>
          <w:noProof/>
          <w:szCs w:val="22"/>
        </w:rPr>
        <w:t>Tufford, L., &amp; Newman, P. (2012). Bracketing in qualitative research. Qualitative social work, 11(1), 80-96.</w:t>
      </w:r>
    </w:p>
    <w:p w14:paraId="59CEADB4" w14:textId="68EAA9D4" w:rsidR="009D6AE2" w:rsidRDefault="009D6AE2" w:rsidP="005E27FA">
      <w:pPr>
        <w:spacing w:line="276" w:lineRule="auto"/>
        <w:rPr>
          <w:rFonts w:cstheme="majorHAnsi"/>
          <w:noProof/>
          <w:szCs w:val="22"/>
        </w:rPr>
      </w:pPr>
    </w:p>
    <w:p w14:paraId="0D82293F" w14:textId="557519B2" w:rsidR="009D6AE2" w:rsidRDefault="009D6AE2" w:rsidP="005E27FA">
      <w:pPr>
        <w:spacing w:line="276" w:lineRule="auto"/>
        <w:rPr>
          <w:rFonts w:cstheme="majorHAnsi"/>
          <w:noProof/>
          <w:szCs w:val="22"/>
        </w:rPr>
      </w:pPr>
    </w:p>
    <w:p w14:paraId="0867AA45" w14:textId="77777777" w:rsidR="009D6AE2" w:rsidRDefault="009D6AE2" w:rsidP="005E27FA">
      <w:pPr>
        <w:spacing w:line="276" w:lineRule="auto"/>
        <w:rPr>
          <w:rFonts w:cstheme="majorHAnsi"/>
          <w:noProof/>
          <w:szCs w:val="22"/>
        </w:rPr>
      </w:pPr>
    </w:p>
    <w:p w14:paraId="236B1D72" w14:textId="5B65643D" w:rsidR="00C7327B" w:rsidRDefault="00402595" w:rsidP="005E27FA">
      <w:pPr>
        <w:spacing w:line="276" w:lineRule="auto"/>
        <w:rPr>
          <w:rFonts w:cstheme="majorHAnsi"/>
          <w:noProof/>
          <w:szCs w:val="22"/>
        </w:rPr>
      </w:pPr>
      <w:r w:rsidRPr="00402595">
        <w:rPr>
          <w:rFonts w:cstheme="majorHAnsi"/>
          <w:noProof/>
          <w:szCs w:val="22"/>
        </w:rPr>
        <w:drawing>
          <wp:inline distT="0" distB="0" distL="0" distR="0" wp14:anchorId="5BC367BA" wp14:editId="7E4B7D59">
            <wp:extent cx="5886450" cy="858520"/>
            <wp:effectExtent l="0" t="0" r="635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86450" cy="858520"/>
                    </a:xfrm>
                    <a:prstGeom prst="rect">
                      <a:avLst/>
                    </a:prstGeom>
                  </pic:spPr>
                </pic:pic>
              </a:graphicData>
            </a:graphic>
          </wp:inline>
        </w:drawing>
      </w:r>
    </w:p>
    <w:p w14:paraId="6A0D88A6" w14:textId="24403D1F" w:rsidR="00C7327B" w:rsidRDefault="00C7327B" w:rsidP="005E27FA">
      <w:pPr>
        <w:spacing w:line="276" w:lineRule="auto"/>
        <w:rPr>
          <w:rFonts w:cstheme="majorHAnsi"/>
          <w:noProof/>
          <w:szCs w:val="22"/>
        </w:rPr>
      </w:pPr>
    </w:p>
    <w:p w14:paraId="2F1A59D4" w14:textId="1D05F744" w:rsidR="00402595" w:rsidRDefault="00402595" w:rsidP="00402595">
      <w:pPr>
        <w:spacing w:line="276" w:lineRule="auto"/>
        <w:rPr>
          <w:rFonts w:cstheme="majorHAnsi"/>
          <w:noProof/>
        </w:rPr>
      </w:pPr>
    </w:p>
    <w:p w14:paraId="1D0D139D" w14:textId="16ADED80" w:rsidR="00402595" w:rsidRDefault="00402595" w:rsidP="00402595">
      <w:pPr>
        <w:spacing w:line="276" w:lineRule="auto"/>
        <w:rPr>
          <w:rFonts w:cstheme="majorHAnsi"/>
          <w:noProof/>
        </w:rPr>
      </w:pPr>
      <w:r>
        <w:rPr>
          <w:rFonts w:cstheme="majorHAnsi"/>
          <w:noProof/>
        </w:rPr>
        <w:t>When</w:t>
      </w:r>
      <w:r w:rsidRPr="00402595">
        <w:rPr>
          <w:rFonts w:cstheme="majorHAnsi"/>
          <w:noProof/>
        </w:rPr>
        <w:t xml:space="preserve"> researchers apply purposive sampling</w:t>
      </w:r>
      <w:r>
        <w:rPr>
          <w:rFonts w:cstheme="majorHAnsi"/>
          <w:noProof/>
        </w:rPr>
        <w:t xml:space="preserve">, </w:t>
      </w:r>
      <w:r w:rsidRPr="00402595">
        <w:rPr>
          <w:rFonts w:cstheme="majorHAnsi"/>
          <w:noProof/>
        </w:rPr>
        <w:t>they seek individuals or sources of information they believe will be most informative</w:t>
      </w:r>
      <w:r>
        <w:rPr>
          <w:rFonts w:cstheme="majorHAnsi"/>
          <w:noProof/>
        </w:rPr>
        <w:t>.  These r</w:t>
      </w:r>
      <w:r w:rsidR="00C7327B">
        <w:rPr>
          <w:rFonts w:cstheme="majorHAnsi"/>
          <w:noProof/>
        </w:rPr>
        <w:t>esearchers can apply one or more variants of purposive sampling</w:t>
      </w:r>
      <w:r>
        <w:rPr>
          <w:rFonts w:cstheme="majorHAnsi"/>
          <w:noProof/>
        </w:rPr>
        <w:t>.  The following table illustrates these variants</w:t>
      </w:r>
      <w:r w:rsidR="00991AC7">
        <w:rPr>
          <w:rFonts w:cstheme="majorHAnsi"/>
          <w:noProof/>
        </w:rPr>
        <w:t xml:space="preserve"> (for a similar taxonomy, </w:t>
      </w:r>
      <w:r w:rsidR="00AB042F">
        <w:rPr>
          <w:rFonts w:cstheme="majorHAnsi"/>
          <w:noProof/>
        </w:rPr>
        <w:t xml:space="preserve">see </w:t>
      </w:r>
      <w:r w:rsidR="00AB042F" w:rsidRPr="00AB042F">
        <w:rPr>
          <w:rFonts w:cstheme="majorHAnsi"/>
          <w:noProof/>
        </w:rPr>
        <w:t>Teddlie</w:t>
      </w:r>
      <w:r w:rsidR="00AB042F">
        <w:rPr>
          <w:rFonts w:cstheme="majorHAnsi"/>
          <w:noProof/>
        </w:rPr>
        <w:t xml:space="preserve"> </w:t>
      </w:r>
      <w:r w:rsidR="00AB042F" w:rsidRPr="00AB042F">
        <w:rPr>
          <w:rFonts w:cstheme="majorHAnsi"/>
          <w:noProof/>
        </w:rPr>
        <w:t>&amp; Yu, 2007).</w:t>
      </w:r>
      <w:r>
        <w:rPr>
          <w:rFonts w:cstheme="majorHAnsi"/>
          <w:noProof/>
        </w:rPr>
        <w:t xml:space="preserve"> </w:t>
      </w:r>
    </w:p>
    <w:p w14:paraId="779F3360" w14:textId="387BD60D" w:rsidR="00402595" w:rsidRDefault="00402595" w:rsidP="00402595">
      <w:pPr>
        <w:spacing w:line="276" w:lineRule="auto"/>
        <w:rPr>
          <w:rFonts w:cstheme="majorHAnsi"/>
          <w:noProof/>
        </w:rPr>
      </w:pPr>
    </w:p>
    <w:tbl>
      <w:tblPr>
        <w:tblStyle w:val="TableGrid"/>
        <w:tblpPr w:leftFromText="180" w:rightFromText="180" w:vertAnchor="text" w:horzAnchor="page" w:tblpX="1247" w:tblpY="83"/>
        <w:tblW w:w="9326"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238"/>
        <w:gridCol w:w="3544"/>
        <w:gridCol w:w="3544"/>
      </w:tblGrid>
      <w:tr w:rsidR="00FB03EA" w:rsidRPr="00DB3574" w14:paraId="41FADBB1" w14:textId="2E33182C" w:rsidTr="00FB03EA">
        <w:trPr>
          <w:trHeight w:val="355"/>
        </w:trPr>
        <w:tc>
          <w:tcPr>
            <w:tcW w:w="2238" w:type="dxa"/>
            <w:shd w:val="clear" w:color="auto" w:fill="C6EBD6" w:themeFill="accent5" w:themeFillTint="66"/>
          </w:tcPr>
          <w:p w14:paraId="1322FB0E" w14:textId="19851D66" w:rsidR="00FB03EA" w:rsidRPr="00DB3574" w:rsidRDefault="00FB03EA" w:rsidP="00916D5A">
            <w:pPr>
              <w:spacing w:line="276" w:lineRule="auto"/>
              <w:jc w:val="center"/>
              <w:rPr>
                <w:rFonts w:cstheme="majorHAnsi"/>
              </w:rPr>
            </w:pPr>
            <w:r>
              <w:rPr>
                <w:rFonts w:cstheme="majorHAnsi"/>
              </w:rPr>
              <w:t>Variant</w:t>
            </w:r>
          </w:p>
        </w:tc>
        <w:tc>
          <w:tcPr>
            <w:tcW w:w="3544" w:type="dxa"/>
            <w:shd w:val="clear" w:color="auto" w:fill="C6EBD6" w:themeFill="accent5" w:themeFillTint="66"/>
          </w:tcPr>
          <w:p w14:paraId="40060501" w14:textId="7F0EBC3A" w:rsidR="00FB03EA" w:rsidRPr="00DB3574" w:rsidRDefault="00FB03EA" w:rsidP="00916D5A">
            <w:pPr>
              <w:spacing w:line="276" w:lineRule="auto"/>
              <w:jc w:val="center"/>
              <w:rPr>
                <w:rFonts w:cstheme="majorHAnsi"/>
              </w:rPr>
            </w:pPr>
            <w:r>
              <w:rPr>
                <w:rFonts w:cstheme="majorHAnsi"/>
              </w:rPr>
              <w:t>Overview</w:t>
            </w:r>
          </w:p>
        </w:tc>
        <w:tc>
          <w:tcPr>
            <w:tcW w:w="3544" w:type="dxa"/>
            <w:shd w:val="clear" w:color="auto" w:fill="C6EBD6" w:themeFill="accent5" w:themeFillTint="66"/>
          </w:tcPr>
          <w:p w14:paraId="793321F4" w14:textId="3F90411A" w:rsidR="00FB03EA" w:rsidRPr="00DB3574" w:rsidRDefault="00FB03EA" w:rsidP="00916D5A">
            <w:pPr>
              <w:spacing w:line="276" w:lineRule="auto"/>
              <w:jc w:val="center"/>
              <w:rPr>
                <w:rFonts w:cstheme="majorHAnsi"/>
              </w:rPr>
            </w:pPr>
            <w:r>
              <w:rPr>
                <w:rFonts w:cstheme="majorHAnsi"/>
              </w:rPr>
              <w:t>Illustration</w:t>
            </w:r>
          </w:p>
        </w:tc>
      </w:tr>
      <w:tr w:rsidR="00FB03EA" w:rsidRPr="00DB3574" w14:paraId="24A4F3E8" w14:textId="39AA82E7" w:rsidTr="00FB03EA">
        <w:trPr>
          <w:trHeight w:val="369"/>
        </w:trPr>
        <w:tc>
          <w:tcPr>
            <w:tcW w:w="2238" w:type="dxa"/>
            <w:shd w:val="clear" w:color="auto" w:fill="D9D9D9" w:themeFill="background1" w:themeFillShade="D9"/>
          </w:tcPr>
          <w:p w14:paraId="4FCAF775" w14:textId="7CA4A926" w:rsidR="00FB03EA" w:rsidRPr="00DB3574" w:rsidRDefault="00FB03EA" w:rsidP="00916D5A">
            <w:pPr>
              <w:spacing w:line="276" w:lineRule="auto"/>
              <w:rPr>
                <w:rFonts w:cstheme="majorHAnsi"/>
              </w:rPr>
            </w:pPr>
            <w:r>
              <w:rPr>
                <w:rFonts w:cstheme="majorHAnsi"/>
                <w:noProof/>
              </w:rPr>
              <w:t>D</w:t>
            </w:r>
            <w:r w:rsidRPr="00FB03EA">
              <w:rPr>
                <w:rFonts w:cstheme="majorHAnsi"/>
                <w:noProof/>
              </w:rPr>
              <w:t>eviant case sampling</w:t>
            </w:r>
            <w:r w:rsidR="00010BAC">
              <w:rPr>
                <w:rFonts w:cstheme="majorHAnsi"/>
                <w:noProof/>
              </w:rPr>
              <w:t xml:space="preserve"> and typical case sampling</w:t>
            </w:r>
          </w:p>
        </w:tc>
        <w:tc>
          <w:tcPr>
            <w:tcW w:w="3544" w:type="dxa"/>
            <w:shd w:val="clear" w:color="auto" w:fill="D9D9D9" w:themeFill="background1" w:themeFillShade="D9"/>
          </w:tcPr>
          <w:p w14:paraId="56A8CBF2" w14:textId="70E0048C" w:rsidR="00FB03EA" w:rsidRPr="00FB03EA" w:rsidRDefault="00FB03EA" w:rsidP="00FB03EA">
            <w:pPr>
              <w:spacing w:line="276" w:lineRule="auto"/>
              <w:rPr>
                <w:rFonts w:cstheme="majorHAnsi"/>
              </w:rPr>
            </w:pPr>
            <w:r>
              <w:rPr>
                <w:rFonts w:cstheme="majorHAnsi"/>
              </w:rPr>
              <w:t>Researchers attempt to recruit special or unusual cases to gain significant insight into some phenomenon</w:t>
            </w:r>
            <w:r w:rsidR="000C4962">
              <w:rPr>
                <w:rFonts w:cstheme="majorHAnsi"/>
              </w:rPr>
              <w:t xml:space="preserve"> (</w:t>
            </w:r>
            <w:r w:rsidR="000C4962" w:rsidRPr="000C4962">
              <w:rPr>
                <w:rFonts w:cstheme="majorHAnsi"/>
              </w:rPr>
              <w:t>Seawright, 2016</w:t>
            </w:r>
            <w:r w:rsidR="000C4962">
              <w:rPr>
                <w:rFonts w:cstheme="majorHAnsi"/>
              </w:rPr>
              <w:t>)</w:t>
            </w:r>
            <w:r w:rsidR="004464FE">
              <w:rPr>
                <w:rFonts w:cstheme="majorHAnsi"/>
              </w:rPr>
              <w:t>.  Often, researchers will combine this technique with typical sampling</w:t>
            </w:r>
            <w:r w:rsidR="00C43DE4">
              <w:rPr>
                <w:rFonts w:cstheme="majorHAnsi"/>
              </w:rPr>
              <w:t xml:space="preserve"> (</w:t>
            </w:r>
            <w:r w:rsidR="00C43DE4" w:rsidRPr="00C43DE4">
              <w:rPr>
                <w:rFonts w:cstheme="majorHAnsi"/>
              </w:rPr>
              <w:t>Campbell, 1999</w:t>
            </w:r>
            <w:r w:rsidR="00C43DE4">
              <w:rPr>
                <w:rFonts w:cstheme="majorHAnsi"/>
              </w:rPr>
              <w:t>)</w:t>
            </w:r>
            <w:r w:rsidR="004464FE">
              <w:rPr>
                <w:rFonts w:cstheme="majorHAnsi"/>
              </w:rPr>
              <w:t xml:space="preserve">, in which they </w:t>
            </w:r>
            <w:r w:rsidR="007A6534">
              <w:rPr>
                <w:rFonts w:cstheme="majorHAnsi"/>
              </w:rPr>
              <w:lastRenderedPageBreak/>
              <w:t>interview or explore a more typical case</w:t>
            </w:r>
            <w:r>
              <w:rPr>
                <w:rFonts w:cstheme="majorHAnsi"/>
              </w:rPr>
              <w:t xml:space="preserve"> </w:t>
            </w:r>
          </w:p>
        </w:tc>
        <w:tc>
          <w:tcPr>
            <w:tcW w:w="3544" w:type="dxa"/>
            <w:shd w:val="clear" w:color="auto" w:fill="D9D9D9" w:themeFill="background1" w:themeFillShade="D9"/>
          </w:tcPr>
          <w:p w14:paraId="5D6CBC18" w14:textId="52BD6172" w:rsidR="00FB03EA" w:rsidRPr="00DB3574" w:rsidRDefault="00E85E77" w:rsidP="00916D5A">
            <w:pPr>
              <w:spacing w:line="276" w:lineRule="auto"/>
              <w:rPr>
                <w:rFonts w:cstheme="majorHAnsi"/>
              </w:rPr>
            </w:pPr>
            <w:r>
              <w:rPr>
                <w:rFonts w:cstheme="majorHAnsi"/>
              </w:rPr>
              <w:lastRenderedPageBreak/>
              <w:t>To study</w:t>
            </w:r>
            <w:r w:rsidR="00FB03EA">
              <w:rPr>
                <w:rFonts w:cstheme="majorHAnsi"/>
              </w:rPr>
              <w:t xml:space="preserve"> research supervision, the researcher might interview supervisors who have won awards.  These successful cases are called positive deviant cases.</w:t>
            </w:r>
          </w:p>
        </w:tc>
      </w:tr>
      <w:tr w:rsidR="009B6F5A" w:rsidRPr="00DB3574" w14:paraId="65F88632" w14:textId="77777777" w:rsidTr="00FB03EA">
        <w:trPr>
          <w:trHeight w:val="369"/>
        </w:trPr>
        <w:tc>
          <w:tcPr>
            <w:tcW w:w="2238" w:type="dxa"/>
            <w:shd w:val="clear" w:color="auto" w:fill="D9D9D9" w:themeFill="background1" w:themeFillShade="D9"/>
          </w:tcPr>
          <w:p w14:paraId="30757F90" w14:textId="7FBC2E7E" w:rsidR="009B6F5A" w:rsidRDefault="009B6F5A" w:rsidP="00916D5A">
            <w:pPr>
              <w:spacing w:line="276" w:lineRule="auto"/>
              <w:rPr>
                <w:rFonts w:cstheme="majorHAnsi"/>
                <w:noProof/>
              </w:rPr>
            </w:pPr>
            <w:r>
              <w:rPr>
                <w:rFonts w:cstheme="majorHAnsi"/>
                <w:noProof/>
              </w:rPr>
              <w:t>Critical case sampling</w:t>
            </w:r>
          </w:p>
        </w:tc>
        <w:tc>
          <w:tcPr>
            <w:tcW w:w="3544" w:type="dxa"/>
            <w:shd w:val="clear" w:color="auto" w:fill="D9D9D9" w:themeFill="background1" w:themeFillShade="D9"/>
          </w:tcPr>
          <w:p w14:paraId="26AB8DEE" w14:textId="301A8806" w:rsidR="009B6F5A" w:rsidRDefault="009B6F5A" w:rsidP="009B6F5A">
            <w:pPr>
              <w:spacing w:line="276" w:lineRule="auto"/>
              <w:rPr>
                <w:rFonts w:cstheme="majorHAnsi"/>
                <w:noProof/>
              </w:rPr>
            </w:pPr>
            <w:r>
              <w:rPr>
                <w:rFonts w:cstheme="majorHAnsi"/>
                <w:noProof/>
              </w:rPr>
              <w:t xml:space="preserve">The </w:t>
            </w:r>
            <w:r w:rsidRPr="009B6F5A">
              <w:rPr>
                <w:rFonts w:cstheme="majorHAnsi"/>
                <w:noProof/>
              </w:rPr>
              <w:t xml:space="preserve">researcher tests some theory or argument in a circumstance in which this theory or argument is least likely to be true </w:t>
            </w:r>
            <w:r w:rsidR="00532480">
              <w:rPr>
                <w:rFonts w:cstheme="majorHAnsi"/>
                <w:noProof/>
              </w:rPr>
              <w:t>(</w:t>
            </w:r>
            <w:r w:rsidR="00C43DE4" w:rsidRPr="00C43DE4">
              <w:rPr>
                <w:rFonts w:cstheme="majorHAnsi"/>
              </w:rPr>
              <w:t>Campbell, 1999</w:t>
            </w:r>
            <w:r w:rsidR="00C43DE4">
              <w:rPr>
                <w:rFonts w:cstheme="majorHAnsi"/>
              </w:rPr>
              <w:t xml:space="preserve">; </w:t>
            </w:r>
            <w:r w:rsidR="00532480" w:rsidRPr="00532480">
              <w:rPr>
                <w:rFonts w:cstheme="majorHAnsi"/>
                <w:noProof/>
              </w:rPr>
              <w:t>Castillo</w:t>
            </w:r>
            <w:r w:rsidR="00532480">
              <w:rPr>
                <w:rFonts w:cstheme="majorHAnsi"/>
                <w:noProof/>
              </w:rPr>
              <w:t xml:space="preserve"> </w:t>
            </w:r>
            <w:r w:rsidR="00532480" w:rsidRPr="00532480">
              <w:rPr>
                <w:rFonts w:cstheme="majorHAnsi"/>
                <w:noProof/>
              </w:rPr>
              <w:t>&amp; Jones, 2020</w:t>
            </w:r>
            <w:r w:rsidR="00532480">
              <w:rPr>
                <w:rFonts w:cstheme="majorHAnsi"/>
                <w:noProof/>
              </w:rPr>
              <w:t>)</w:t>
            </w:r>
          </w:p>
        </w:tc>
        <w:tc>
          <w:tcPr>
            <w:tcW w:w="3544" w:type="dxa"/>
            <w:shd w:val="clear" w:color="auto" w:fill="D9D9D9" w:themeFill="background1" w:themeFillShade="D9"/>
          </w:tcPr>
          <w:p w14:paraId="1E70BC67" w14:textId="5CF3B39D" w:rsidR="009B6F5A" w:rsidRDefault="009B6F5A" w:rsidP="00916D5A">
            <w:pPr>
              <w:spacing w:line="276" w:lineRule="auto"/>
              <w:rPr>
                <w:rFonts w:cstheme="majorHAnsi"/>
              </w:rPr>
            </w:pPr>
            <w:r>
              <w:rPr>
                <w:rFonts w:cstheme="majorHAnsi"/>
              </w:rPr>
              <w:t xml:space="preserve">Suppose the researcher wants to assess the notion that research candidates prefer humble </w:t>
            </w:r>
            <w:r w:rsidR="00810233">
              <w:rPr>
                <w:rFonts w:cstheme="majorHAnsi"/>
              </w:rPr>
              <w:t xml:space="preserve">supervisors.  The researcher might test this assumption in elitist universities—universities in which this assumption might not apply.  </w:t>
            </w:r>
          </w:p>
        </w:tc>
      </w:tr>
      <w:tr w:rsidR="009B6F5A" w:rsidRPr="00DB3574" w14:paraId="3461547B" w14:textId="77777777" w:rsidTr="00FB03EA">
        <w:trPr>
          <w:trHeight w:val="369"/>
        </w:trPr>
        <w:tc>
          <w:tcPr>
            <w:tcW w:w="2238" w:type="dxa"/>
            <w:shd w:val="clear" w:color="auto" w:fill="D9D9D9" w:themeFill="background1" w:themeFillShade="D9"/>
          </w:tcPr>
          <w:p w14:paraId="294A9E7D" w14:textId="6A91B51F" w:rsidR="009B6F5A" w:rsidRDefault="00424CBD" w:rsidP="00916D5A">
            <w:pPr>
              <w:spacing w:line="276" w:lineRule="auto"/>
              <w:rPr>
                <w:rFonts w:cstheme="majorHAnsi"/>
                <w:noProof/>
              </w:rPr>
            </w:pPr>
            <w:r>
              <w:rPr>
                <w:rFonts w:cstheme="majorHAnsi"/>
                <w:noProof/>
              </w:rPr>
              <w:t>Maximum variation or heterogeneous sampling</w:t>
            </w:r>
            <w:r w:rsidR="00C43DE4">
              <w:rPr>
                <w:rFonts w:cstheme="majorHAnsi"/>
                <w:noProof/>
              </w:rPr>
              <w:t xml:space="preserve"> (</w:t>
            </w:r>
            <w:r w:rsidR="00C43DE4" w:rsidRPr="00C43DE4">
              <w:rPr>
                <w:rFonts w:cstheme="majorHAnsi"/>
              </w:rPr>
              <w:t>Campbell, 1999</w:t>
            </w:r>
            <w:r w:rsidR="00C43DE4">
              <w:rPr>
                <w:rFonts w:cstheme="majorHAnsi"/>
                <w:noProof/>
              </w:rPr>
              <w:t>)</w:t>
            </w:r>
          </w:p>
        </w:tc>
        <w:tc>
          <w:tcPr>
            <w:tcW w:w="3544" w:type="dxa"/>
            <w:shd w:val="clear" w:color="auto" w:fill="D9D9D9" w:themeFill="background1" w:themeFillShade="D9"/>
          </w:tcPr>
          <w:p w14:paraId="2A61AA2A" w14:textId="77777777" w:rsidR="001F3236" w:rsidRDefault="00424CBD" w:rsidP="00FB03EA">
            <w:pPr>
              <w:spacing w:line="276" w:lineRule="auto"/>
              <w:rPr>
                <w:rFonts w:cstheme="majorHAnsi"/>
              </w:rPr>
            </w:pPr>
            <w:r>
              <w:rPr>
                <w:rFonts w:cstheme="majorHAnsi"/>
              </w:rPr>
              <w:t>The researcher deliberately chooses a diverse range of participants—participants that vary on some key characteristic as greatly as possible</w:t>
            </w:r>
            <w:r w:rsidR="00274BB2">
              <w:rPr>
                <w:rFonts w:cstheme="majorHAnsi"/>
              </w:rPr>
              <w:t>.  The researcher can thus explore the phenomenon from many different perspectives</w:t>
            </w:r>
            <w:r w:rsidR="00E85E77">
              <w:rPr>
                <w:rFonts w:cstheme="majorHAnsi"/>
              </w:rPr>
              <w:t xml:space="preserve">. </w:t>
            </w:r>
          </w:p>
          <w:p w14:paraId="7E9408AF" w14:textId="77777777" w:rsidR="001F3236" w:rsidRDefault="001F3236" w:rsidP="00FB03EA">
            <w:pPr>
              <w:spacing w:line="276" w:lineRule="auto"/>
              <w:rPr>
                <w:rFonts w:cstheme="majorHAnsi"/>
              </w:rPr>
            </w:pPr>
          </w:p>
          <w:p w14:paraId="2EAEF2C9" w14:textId="7FC9DF9A" w:rsidR="009B6F5A" w:rsidRDefault="00546253" w:rsidP="00FB03EA">
            <w:pPr>
              <w:spacing w:line="276" w:lineRule="auto"/>
              <w:rPr>
                <w:rFonts w:cstheme="majorHAnsi"/>
              </w:rPr>
            </w:pPr>
            <w:r>
              <w:rPr>
                <w:rFonts w:cstheme="majorHAnsi"/>
              </w:rPr>
              <w:t>Often, although heterogeneous on one characteristic, the participants may be homogenous on a key characteristic that interests the research.  For example, the researcher may be interested in only arts supervisors.</w:t>
            </w:r>
          </w:p>
        </w:tc>
        <w:tc>
          <w:tcPr>
            <w:tcW w:w="3544" w:type="dxa"/>
            <w:shd w:val="clear" w:color="auto" w:fill="D9D9D9" w:themeFill="background1" w:themeFillShade="D9"/>
          </w:tcPr>
          <w:p w14:paraId="08A4C68A" w14:textId="130C6B3B" w:rsidR="009B6F5A" w:rsidRDefault="00E85E77" w:rsidP="00916D5A">
            <w:pPr>
              <w:spacing w:line="276" w:lineRule="auto"/>
              <w:rPr>
                <w:rFonts w:cstheme="majorHAnsi"/>
              </w:rPr>
            </w:pPr>
            <w:r>
              <w:rPr>
                <w:rFonts w:cstheme="majorHAnsi"/>
              </w:rPr>
              <w:t>To study research supervision, the researcher might interview supervisors who represent many fields or many levels of experience</w:t>
            </w:r>
            <w:r w:rsidR="006821C7">
              <w:rPr>
                <w:rFonts w:cstheme="majorHAnsi"/>
              </w:rPr>
              <w:t>.</w:t>
            </w:r>
            <w:r>
              <w:rPr>
                <w:rFonts w:cstheme="majorHAnsi"/>
              </w:rPr>
              <w:t xml:space="preserve"> </w:t>
            </w:r>
          </w:p>
        </w:tc>
      </w:tr>
      <w:tr w:rsidR="009B6F5A" w:rsidRPr="00DB3574" w14:paraId="0677C15C" w14:textId="77777777" w:rsidTr="00FB03EA">
        <w:trPr>
          <w:trHeight w:val="369"/>
        </w:trPr>
        <w:tc>
          <w:tcPr>
            <w:tcW w:w="2238" w:type="dxa"/>
            <w:shd w:val="clear" w:color="auto" w:fill="D9D9D9" w:themeFill="background1" w:themeFillShade="D9"/>
          </w:tcPr>
          <w:p w14:paraId="1B24C00B" w14:textId="6FE4443C" w:rsidR="009B6F5A" w:rsidRDefault="00857DEC" w:rsidP="00916D5A">
            <w:pPr>
              <w:spacing w:line="276" w:lineRule="auto"/>
              <w:rPr>
                <w:rFonts w:cstheme="majorHAnsi"/>
                <w:noProof/>
              </w:rPr>
            </w:pPr>
            <w:r>
              <w:rPr>
                <w:rFonts w:cstheme="majorHAnsi"/>
                <w:noProof/>
              </w:rPr>
              <w:t>Expert sampling</w:t>
            </w:r>
            <w:r w:rsidR="00334BDD">
              <w:rPr>
                <w:rFonts w:cstheme="majorHAnsi"/>
                <w:noProof/>
              </w:rPr>
              <w:t xml:space="preserve"> (</w:t>
            </w:r>
            <w:r w:rsidR="00334BDD" w:rsidRPr="00334BDD">
              <w:rPr>
                <w:rFonts w:cstheme="majorHAnsi"/>
                <w:noProof/>
              </w:rPr>
              <w:t>Etikan</w:t>
            </w:r>
            <w:r w:rsidR="00334BDD">
              <w:rPr>
                <w:rFonts w:cstheme="majorHAnsi"/>
                <w:noProof/>
              </w:rPr>
              <w:t xml:space="preserve"> et al., 2016)</w:t>
            </w:r>
          </w:p>
        </w:tc>
        <w:tc>
          <w:tcPr>
            <w:tcW w:w="3544" w:type="dxa"/>
            <w:shd w:val="clear" w:color="auto" w:fill="D9D9D9" w:themeFill="background1" w:themeFillShade="D9"/>
          </w:tcPr>
          <w:p w14:paraId="6BE83558" w14:textId="19CC0EEB" w:rsidR="009B6F5A" w:rsidRDefault="00857DEC" w:rsidP="00FB03EA">
            <w:pPr>
              <w:spacing w:line="276" w:lineRule="auto"/>
              <w:rPr>
                <w:rFonts w:cstheme="majorHAnsi"/>
              </w:rPr>
            </w:pPr>
            <w:r>
              <w:rPr>
                <w:rFonts w:cstheme="majorHAnsi"/>
              </w:rPr>
              <w:t>The researcher interviews individuals who have developed specialist expertise about a topic</w:t>
            </w:r>
          </w:p>
        </w:tc>
        <w:tc>
          <w:tcPr>
            <w:tcW w:w="3544" w:type="dxa"/>
            <w:shd w:val="clear" w:color="auto" w:fill="D9D9D9" w:themeFill="background1" w:themeFillShade="D9"/>
          </w:tcPr>
          <w:p w14:paraId="46535885" w14:textId="3A450334" w:rsidR="009B6F5A" w:rsidRDefault="00857DEC" w:rsidP="00916D5A">
            <w:pPr>
              <w:spacing w:line="276" w:lineRule="auto"/>
              <w:rPr>
                <w:rFonts w:cstheme="majorHAnsi"/>
              </w:rPr>
            </w:pPr>
            <w:r>
              <w:rPr>
                <w:rFonts w:cstheme="majorHAnsi"/>
              </w:rPr>
              <w:t xml:space="preserve">To study research supervision, the researcher might interview the person whose responsibility is to evaluate supervisors. </w:t>
            </w:r>
          </w:p>
        </w:tc>
      </w:tr>
    </w:tbl>
    <w:p w14:paraId="01CF920F" w14:textId="77777777" w:rsidR="00FB03EA" w:rsidRDefault="00FB03EA" w:rsidP="00402595">
      <w:pPr>
        <w:spacing w:line="276" w:lineRule="auto"/>
        <w:rPr>
          <w:rFonts w:cstheme="majorHAnsi"/>
          <w:noProof/>
        </w:rPr>
      </w:pPr>
    </w:p>
    <w:p w14:paraId="05FBF75C" w14:textId="77777777" w:rsidR="00402595" w:rsidRDefault="00402595" w:rsidP="00402595">
      <w:pPr>
        <w:spacing w:line="276" w:lineRule="auto"/>
        <w:rPr>
          <w:rFonts w:cstheme="majorHAnsi"/>
          <w:noProof/>
        </w:rPr>
      </w:pPr>
    </w:p>
    <w:p w14:paraId="4F75888E" w14:textId="77777777" w:rsidR="00C7327B" w:rsidRPr="00DB3574" w:rsidRDefault="00C7327B" w:rsidP="00402595">
      <w:pPr>
        <w:spacing w:line="276" w:lineRule="auto"/>
        <w:rPr>
          <w:rFonts w:cstheme="majorHAnsi"/>
          <w:noProof/>
          <w:szCs w:val="22"/>
        </w:rPr>
      </w:pPr>
    </w:p>
    <w:p w14:paraId="36B697A6" w14:textId="77777777" w:rsidR="00DB3574" w:rsidRPr="00DB3574" w:rsidRDefault="00DB3574" w:rsidP="00402595">
      <w:pPr>
        <w:spacing w:line="276" w:lineRule="auto"/>
        <w:rPr>
          <w:lang w:val="en-AU"/>
        </w:rPr>
      </w:pPr>
    </w:p>
    <w:sectPr w:rsidR="00DB3574" w:rsidRPr="00DB3574" w:rsidSect="005564DE">
      <w:headerReference w:type="even" r:id="rId9"/>
      <w:headerReference w:type="default" r:id="rId10"/>
      <w:footerReference w:type="default" r:id="rId11"/>
      <w:headerReference w:type="first" r:id="rId12"/>
      <w:footerReference w:type="first" r:id="rId13"/>
      <w:pgSz w:w="11900" w:h="16840"/>
      <w:pgMar w:top="1315" w:right="1315" w:bottom="1701" w:left="1315" w:header="850"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6EB221" w14:textId="77777777" w:rsidR="007035F6" w:rsidRDefault="007035F6" w:rsidP="00452E05">
      <w:r>
        <w:separator/>
      </w:r>
    </w:p>
  </w:endnote>
  <w:endnote w:type="continuationSeparator" w:id="0">
    <w:p w14:paraId="7E5037C2" w14:textId="77777777" w:rsidR="007035F6" w:rsidRDefault="007035F6"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Minion Pro">
    <w:panose1 w:val="020B0604020202020204"/>
    <w:charset w:val="00"/>
    <w:family w:val="roman"/>
    <w:pitch w:val="variable"/>
    <w:sig w:usb0="60000287" w:usb1="00000001" w:usb2="00000000" w:usb3="00000000" w:csb0="0000019F" w:csb1="00000000"/>
  </w:font>
  <w:font w:name="Times New Roman (Headings CS)">
    <w:altName w:val="Times New Roman"/>
    <w:panose1 w:val="020B0604020202020204"/>
    <w:charset w:val="00"/>
    <w:family w:val="roman"/>
    <w:pitch w:val="default"/>
  </w:font>
  <w:font w:name="Segoe UI">
    <w:panose1 w:val="020B0604020202020204"/>
    <w:charset w:val="00"/>
    <w:family w:val="swiss"/>
    <w:pitch w:val="variable"/>
    <w:sig w:usb0="E4002EFF" w:usb1="C000E47F" w:usb2="00000009" w:usb3="00000000" w:csb0="000001FF" w:csb1="00000000"/>
  </w:font>
  <w:font w:name="DIN-Light">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5DDD5" w14:textId="7365AD9A" w:rsidR="001B5BCC" w:rsidRPr="00C62BC1" w:rsidRDefault="00C62BC1" w:rsidP="00C62BC1">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34568" w14:textId="52954064" w:rsidR="00EC2C66" w:rsidRPr="00EC2C66" w:rsidRDefault="00EC2C66" w:rsidP="00EC2C66">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291E78" w14:textId="77777777" w:rsidR="007035F6" w:rsidRDefault="007035F6" w:rsidP="00452E05">
      <w:r>
        <w:separator/>
      </w:r>
    </w:p>
  </w:footnote>
  <w:footnote w:type="continuationSeparator" w:id="0">
    <w:p w14:paraId="2DDC08D9" w14:textId="77777777" w:rsidR="007035F6" w:rsidRDefault="007035F6"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A9C6B" w14:textId="70266D9D" w:rsidR="00C62BC1" w:rsidRDefault="007035F6">
    <w:pPr>
      <w:pStyle w:val="Header"/>
    </w:pPr>
    <w:r>
      <w:rPr>
        <w:noProof/>
      </w:rPr>
      <w:pict w14:anchorId="0D482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66979" o:spid="_x0000_s2049" type="#_x0000_t75" alt="Artboard 12" style="position:absolute;margin-left:0;margin-top:0;width:595.75pt;height:842pt;z-index:-251657728;mso-wrap-edited:f;mso-width-percent:0;mso-height-percent:0;mso-position-horizontal:center;mso-position-horizontal-relative:margin;mso-position-vertical:center;mso-position-vertical-relative:margin;mso-width-percent:0;mso-height-percent:0" o:allowincell="f">
          <v:imagedata r:id="rId1" o:title="Artboard 1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799A1" w14:textId="4E1E8827" w:rsidR="00DF18F7" w:rsidRDefault="00DF18F7" w:rsidP="00397830">
    <w:pPr>
      <w:pStyle w:val="Header"/>
      <w:tabs>
        <w:tab w:val="clear" w:pos="4680"/>
        <w:tab w:val="clear" w:pos="9360"/>
      </w:tabs>
      <w:rPr>
        <w:noProof/>
        <w:szCs w:val="20"/>
      </w:rPr>
    </w:pPr>
  </w:p>
  <w:p w14:paraId="098BF19D" w14:textId="7309D4C8" w:rsidR="00397830" w:rsidRPr="00397830" w:rsidRDefault="00397830" w:rsidP="00397830">
    <w:pPr>
      <w:pStyle w:val="Header"/>
      <w:tabs>
        <w:tab w:val="clear" w:pos="4680"/>
        <w:tab w:val="clear" w:pos="9360"/>
      </w:tabs>
      <w:rPr>
        <w:noProof/>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9C470" w14:textId="4C7C3CD4" w:rsidR="00C62BC1" w:rsidRDefault="009F4AD0">
    <w:pPr>
      <w:pStyle w:val="Header"/>
    </w:pPr>
    <w:r>
      <w:rPr>
        <w:noProof/>
      </w:rPr>
      <w:drawing>
        <wp:anchor distT="0" distB="0" distL="114300" distR="114300" simplePos="0" relativeHeight="251657728" behindDoc="1" locked="0" layoutInCell="1" allowOverlap="1" wp14:anchorId="553678DE" wp14:editId="337E128C">
          <wp:simplePos x="0" y="0"/>
          <wp:positionH relativeFrom="column">
            <wp:posOffset>3571875</wp:posOffset>
          </wp:positionH>
          <wp:positionV relativeFrom="paragraph">
            <wp:posOffset>-1238885</wp:posOffset>
          </wp:positionV>
          <wp:extent cx="4041775" cy="29225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tal.png"/>
                  <pic:cNvPicPr/>
                </pic:nvPicPr>
                <pic:blipFill>
                  <a:blip r:embed="rId1">
                    <a:extLst>
                      <a:ext uri="{28A0092B-C50C-407E-A947-70E740481C1C}">
                        <a14:useLocalDpi xmlns:a14="http://schemas.microsoft.com/office/drawing/2010/main" val="0"/>
                      </a:ext>
                    </a:extLst>
                  </a:blip>
                  <a:stretch>
                    <a:fillRect/>
                  </a:stretch>
                </pic:blipFill>
                <pic:spPr>
                  <a:xfrm>
                    <a:off x="0" y="0"/>
                    <a:ext cx="4041775" cy="2922583"/>
                  </a:xfrm>
                  <a:prstGeom prst="rect">
                    <a:avLst/>
                  </a:prstGeom>
                </pic:spPr>
              </pic:pic>
            </a:graphicData>
          </a:graphic>
          <wp14:sizeRelH relativeFrom="page">
            <wp14:pctWidth>0</wp14:pctWidth>
          </wp14:sizeRelH>
          <wp14:sizeRelV relativeFrom="page">
            <wp14:pctHeight>0</wp14:pctHeight>
          </wp14:sizeRelV>
        </wp:anchor>
      </w:drawing>
    </w:r>
    <w:r w:rsidR="005364A9">
      <w:rPr>
        <w:noProof/>
      </w:rPr>
      <w:drawing>
        <wp:anchor distT="0" distB="0" distL="114300" distR="114300" simplePos="0" relativeHeight="251656704" behindDoc="1" locked="1" layoutInCell="1" allowOverlap="1" wp14:anchorId="20B6BB33" wp14:editId="5DFC80AC">
          <wp:simplePos x="0" y="0"/>
          <wp:positionH relativeFrom="page">
            <wp:posOffset>0</wp:posOffset>
          </wp:positionH>
          <wp:positionV relativeFrom="page">
            <wp:posOffset>0</wp:posOffset>
          </wp:positionV>
          <wp:extent cx="7563600" cy="10692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_portrait.jpg"/>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1D88B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64A4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181F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2E58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A6A0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5EBA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B4E9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089A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DCF8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8826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3A5E72"/>
    <w:multiLevelType w:val="hybridMultilevel"/>
    <w:tmpl w:val="10C0D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7933112"/>
    <w:multiLevelType w:val="hybridMultilevel"/>
    <w:tmpl w:val="6784A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7E76A6C"/>
    <w:multiLevelType w:val="hybridMultilevel"/>
    <w:tmpl w:val="0D90B5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0CDA4BCE"/>
    <w:multiLevelType w:val="hybridMultilevel"/>
    <w:tmpl w:val="3402B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133723E"/>
    <w:multiLevelType w:val="hybridMultilevel"/>
    <w:tmpl w:val="11F8C3CA"/>
    <w:lvl w:ilvl="0" w:tplc="72DA7B86">
      <w:numFmt w:val="bullet"/>
      <w:lvlText w:val="•"/>
      <w:lvlJc w:val="left"/>
      <w:pPr>
        <w:ind w:left="720" w:hanging="720"/>
      </w:pPr>
      <w:rPr>
        <w:rFonts w:ascii="Calibri" w:eastAsiaTheme="minorEastAsia"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1940FA8"/>
    <w:multiLevelType w:val="hybridMultilevel"/>
    <w:tmpl w:val="8370D764"/>
    <w:lvl w:ilvl="0" w:tplc="72DA7B86">
      <w:numFmt w:val="bullet"/>
      <w:lvlText w:val="•"/>
      <w:lvlJc w:val="left"/>
      <w:pPr>
        <w:ind w:left="720" w:hanging="720"/>
      </w:pPr>
      <w:rPr>
        <w:rFonts w:ascii="Calibri" w:eastAsiaTheme="minorEastAsia"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2381285"/>
    <w:multiLevelType w:val="hybridMultilevel"/>
    <w:tmpl w:val="41D26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3210981"/>
    <w:multiLevelType w:val="hybridMultilevel"/>
    <w:tmpl w:val="90268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393230B"/>
    <w:multiLevelType w:val="hybridMultilevel"/>
    <w:tmpl w:val="43A689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43A313D"/>
    <w:multiLevelType w:val="hybridMultilevel"/>
    <w:tmpl w:val="3DC2C0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60F0349"/>
    <w:multiLevelType w:val="hybridMultilevel"/>
    <w:tmpl w:val="8F4A7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A417874"/>
    <w:multiLevelType w:val="hybridMultilevel"/>
    <w:tmpl w:val="BEC870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CA2228B"/>
    <w:multiLevelType w:val="hybridMultilevel"/>
    <w:tmpl w:val="75D87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1C37D61"/>
    <w:multiLevelType w:val="hybridMultilevel"/>
    <w:tmpl w:val="711A8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2111214"/>
    <w:multiLevelType w:val="hybridMultilevel"/>
    <w:tmpl w:val="88827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51D1467"/>
    <w:multiLevelType w:val="hybridMultilevel"/>
    <w:tmpl w:val="CF28E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0741BED"/>
    <w:multiLevelType w:val="hybridMultilevel"/>
    <w:tmpl w:val="0C2C61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0E86905"/>
    <w:multiLevelType w:val="hybridMultilevel"/>
    <w:tmpl w:val="4A145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99F4252"/>
    <w:multiLevelType w:val="hybridMultilevel"/>
    <w:tmpl w:val="05947F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CA12623"/>
    <w:multiLevelType w:val="hybridMultilevel"/>
    <w:tmpl w:val="F1A4BD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F224F5F"/>
    <w:multiLevelType w:val="hybridMultilevel"/>
    <w:tmpl w:val="5F7A50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3CB7355"/>
    <w:multiLevelType w:val="hybridMultilevel"/>
    <w:tmpl w:val="970089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ACE09A1"/>
    <w:multiLevelType w:val="hybridMultilevel"/>
    <w:tmpl w:val="171283EC"/>
    <w:lvl w:ilvl="0" w:tplc="72DA7B86">
      <w:numFmt w:val="bullet"/>
      <w:lvlText w:val="•"/>
      <w:lvlJc w:val="left"/>
      <w:pPr>
        <w:ind w:left="720" w:hanging="720"/>
      </w:pPr>
      <w:rPr>
        <w:rFonts w:ascii="Calibri" w:eastAsiaTheme="minorEastAsia"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E1829AE"/>
    <w:multiLevelType w:val="hybridMultilevel"/>
    <w:tmpl w:val="5868E72A"/>
    <w:lvl w:ilvl="0" w:tplc="7A36F53C">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27639A8"/>
    <w:multiLevelType w:val="hybridMultilevel"/>
    <w:tmpl w:val="A268F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6FC4806"/>
    <w:multiLevelType w:val="hybridMultilevel"/>
    <w:tmpl w:val="B93A88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ACF71E8"/>
    <w:multiLevelType w:val="hybridMultilevel"/>
    <w:tmpl w:val="A656B8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C237CF6"/>
    <w:multiLevelType w:val="hybridMultilevel"/>
    <w:tmpl w:val="54083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DEB597D"/>
    <w:multiLevelType w:val="hybridMultilevel"/>
    <w:tmpl w:val="D722E7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4101698"/>
    <w:multiLevelType w:val="hybridMultilevel"/>
    <w:tmpl w:val="D31EA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54014C8"/>
    <w:multiLevelType w:val="hybridMultilevel"/>
    <w:tmpl w:val="68A85A76"/>
    <w:lvl w:ilvl="0" w:tplc="E29C20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E8411F"/>
    <w:multiLevelType w:val="hybridMultilevel"/>
    <w:tmpl w:val="028E4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2"/>
  </w:num>
  <w:num w:numId="12">
    <w:abstractNumId w:val="40"/>
  </w:num>
  <w:num w:numId="13">
    <w:abstractNumId w:val="29"/>
  </w:num>
  <w:num w:numId="14">
    <w:abstractNumId w:val="26"/>
  </w:num>
  <w:num w:numId="15">
    <w:abstractNumId w:val="24"/>
  </w:num>
  <w:num w:numId="16">
    <w:abstractNumId w:val="34"/>
  </w:num>
  <w:num w:numId="17">
    <w:abstractNumId w:val="23"/>
  </w:num>
  <w:num w:numId="18">
    <w:abstractNumId w:val="41"/>
  </w:num>
  <w:num w:numId="19">
    <w:abstractNumId w:val="38"/>
  </w:num>
  <w:num w:numId="20">
    <w:abstractNumId w:val="11"/>
  </w:num>
  <w:num w:numId="21">
    <w:abstractNumId w:val="25"/>
  </w:num>
  <w:num w:numId="22">
    <w:abstractNumId w:val="37"/>
  </w:num>
  <w:num w:numId="23">
    <w:abstractNumId w:val="36"/>
  </w:num>
  <w:num w:numId="24">
    <w:abstractNumId w:val="19"/>
  </w:num>
  <w:num w:numId="25">
    <w:abstractNumId w:val="13"/>
  </w:num>
  <w:num w:numId="26">
    <w:abstractNumId w:val="21"/>
  </w:num>
  <w:num w:numId="27">
    <w:abstractNumId w:val="27"/>
  </w:num>
  <w:num w:numId="28">
    <w:abstractNumId w:val="35"/>
  </w:num>
  <w:num w:numId="29">
    <w:abstractNumId w:val="28"/>
  </w:num>
  <w:num w:numId="30">
    <w:abstractNumId w:val="16"/>
  </w:num>
  <w:num w:numId="31">
    <w:abstractNumId w:val="17"/>
  </w:num>
  <w:num w:numId="32">
    <w:abstractNumId w:val="30"/>
  </w:num>
  <w:num w:numId="33">
    <w:abstractNumId w:val="10"/>
  </w:num>
  <w:num w:numId="34">
    <w:abstractNumId w:val="22"/>
  </w:num>
  <w:num w:numId="35">
    <w:abstractNumId w:val="39"/>
  </w:num>
  <w:num w:numId="36">
    <w:abstractNumId w:val="20"/>
  </w:num>
  <w:num w:numId="37">
    <w:abstractNumId w:val="14"/>
  </w:num>
  <w:num w:numId="38">
    <w:abstractNumId w:val="33"/>
  </w:num>
  <w:num w:numId="39">
    <w:abstractNumId w:val="31"/>
  </w:num>
  <w:num w:numId="40">
    <w:abstractNumId w:val="32"/>
  </w:num>
  <w:num w:numId="41">
    <w:abstractNumId w:val="15"/>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wNzUzNzM1MjAxMDBQ0lEKTi0uzszPAykwqgUA7QUaZywAAAA="/>
  </w:docVars>
  <w:rsids>
    <w:rsidRoot w:val="00452E05"/>
    <w:rsid w:val="0000037A"/>
    <w:rsid w:val="00000A01"/>
    <w:rsid w:val="00007598"/>
    <w:rsid w:val="00010BAC"/>
    <w:rsid w:val="000332D9"/>
    <w:rsid w:val="00047135"/>
    <w:rsid w:val="00065F0F"/>
    <w:rsid w:val="000674D3"/>
    <w:rsid w:val="000C4962"/>
    <w:rsid w:val="000D6105"/>
    <w:rsid w:val="00127477"/>
    <w:rsid w:val="001A66E3"/>
    <w:rsid w:val="001B5BCC"/>
    <w:rsid w:val="001F3236"/>
    <w:rsid w:val="00214A32"/>
    <w:rsid w:val="00215358"/>
    <w:rsid w:val="00263F4A"/>
    <w:rsid w:val="00274BB2"/>
    <w:rsid w:val="0029790B"/>
    <w:rsid w:val="00334BDD"/>
    <w:rsid w:val="0033676E"/>
    <w:rsid w:val="00347E6A"/>
    <w:rsid w:val="00360C41"/>
    <w:rsid w:val="0037485F"/>
    <w:rsid w:val="00384C2A"/>
    <w:rsid w:val="00397830"/>
    <w:rsid w:val="003E0428"/>
    <w:rsid w:val="003E30BF"/>
    <w:rsid w:val="00402595"/>
    <w:rsid w:val="004135F6"/>
    <w:rsid w:val="00424CBD"/>
    <w:rsid w:val="00444794"/>
    <w:rsid w:val="004464FE"/>
    <w:rsid w:val="00452E05"/>
    <w:rsid w:val="00476905"/>
    <w:rsid w:val="00494903"/>
    <w:rsid w:val="004F37BB"/>
    <w:rsid w:val="005021EC"/>
    <w:rsid w:val="00532480"/>
    <w:rsid w:val="005364A9"/>
    <w:rsid w:val="00546253"/>
    <w:rsid w:val="005564DE"/>
    <w:rsid w:val="00596877"/>
    <w:rsid w:val="005B1C72"/>
    <w:rsid w:val="005B6F71"/>
    <w:rsid w:val="005C0733"/>
    <w:rsid w:val="005D0F4F"/>
    <w:rsid w:val="005E27FA"/>
    <w:rsid w:val="005E6863"/>
    <w:rsid w:val="00605E2E"/>
    <w:rsid w:val="00630192"/>
    <w:rsid w:val="00657306"/>
    <w:rsid w:val="006575DD"/>
    <w:rsid w:val="006821C7"/>
    <w:rsid w:val="007035F6"/>
    <w:rsid w:val="00710665"/>
    <w:rsid w:val="00725256"/>
    <w:rsid w:val="00736100"/>
    <w:rsid w:val="00736B48"/>
    <w:rsid w:val="0075065F"/>
    <w:rsid w:val="00752E7B"/>
    <w:rsid w:val="00783F13"/>
    <w:rsid w:val="007907FC"/>
    <w:rsid w:val="00795F28"/>
    <w:rsid w:val="007A6534"/>
    <w:rsid w:val="007D0B7D"/>
    <w:rsid w:val="007E32A1"/>
    <w:rsid w:val="007E4752"/>
    <w:rsid w:val="00802D3E"/>
    <w:rsid w:val="00810233"/>
    <w:rsid w:val="00810BA4"/>
    <w:rsid w:val="0081211C"/>
    <w:rsid w:val="008326DE"/>
    <w:rsid w:val="00857DEC"/>
    <w:rsid w:val="00870603"/>
    <w:rsid w:val="008C382A"/>
    <w:rsid w:val="00924A6A"/>
    <w:rsid w:val="00991AC7"/>
    <w:rsid w:val="009B6F5A"/>
    <w:rsid w:val="009C3D08"/>
    <w:rsid w:val="009C53FA"/>
    <w:rsid w:val="009D673D"/>
    <w:rsid w:val="009D6AE2"/>
    <w:rsid w:val="009F0315"/>
    <w:rsid w:val="009F4AD0"/>
    <w:rsid w:val="00A32167"/>
    <w:rsid w:val="00A3382D"/>
    <w:rsid w:val="00A72D40"/>
    <w:rsid w:val="00AB042F"/>
    <w:rsid w:val="00AE153D"/>
    <w:rsid w:val="00B12FB3"/>
    <w:rsid w:val="00B658DB"/>
    <w:rsid w:val="00B9245E"/>
    <w:rsid w:val="00BD4AC6"/>
    <w:rsid w:val="00BE0325"/>
    <w:rsid w:val="00C21416"/>
    <w:rsid w:val="00C43DE4"/>
    <w:rsid w:val="00C4532A"/>
    <w:rsid w:val="00C62BC1"/>
    <w:rsid w:val="00C7327B"/>
    <w:rsid w:val="00DA6CF7"/>
    <w:rsid w:val="00DB345F"/>
    <w:rsid w:val="00DB3574"/>
    <w:rsid w:val="00DF18F7"/>
    <w:rsid w:val="00DF47F4"/>
    <w:rsid w:val="00E04EC0"/>
    <w:rsid w:val="00E35A2B"/>
    <w:rsid w:val="00E44A4D"/>
    <w:rsid w:val="00E74538"/>
    <w:rsid w:val="00E81C8A"/>
    <w:rsid w:val="00E82E56"/>
    <w:rsid w:val="00E85E77"/>
    <w:rsid w:val="00E944C1"/>
    <w:rsid w:val="00EC2C66"/>
    <w:rsid w:val="00FA07CA"/>
    <w:rsid w:val="00FA6D6F"/>
    <w:rsid w:val="00FB03EA"/>
    <w:rsid w:val="00FB19DC"/>
    <w:rsid w:val="00FB7863"/>
    <w:rsid w:val="00FE67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82D"/>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007598"/>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qFormat/>
    <w:rsid w:val="004135F6"/>
    <w:pPr>
      <w:contextualSpacing/>
      <w:outlineLvl w:val="1"/>
    </w:pPr>
    <w:rPr>
      <w:rFonts w:eastAsiaTheme="minorHAnsi" w:cs="Arial"/>
      <w:szCs w:val="22"/>
      <w:lang w:val="en-AU"/>
    </w:rPr>
  </w:style>
  <w:style w:type="paragraph" w:styleId="Heading3">
    <w:name w:val="heading 3"/>
    <w:basedOn w:val="Heading1"/>
    <w:next w:val="Normal"/>
    <w:link w:val="Heading3Char"/>
    <w:uiPriority w:val="9"/>
    <w:unhideWhenUsed/>
    <w:rsid w:val="004135F6"/>
    <w:pPr>
      <w:outlineLvl w:val="2"/>
    </w:pPr>
    <w:rPr>
      <w:rFonts w:eastAsiaTheme="majorEastAsia" w:cstheme="majorBidi"/>
      <w:color w:val="201645" w:themeColor="background2"/>
    </w:rPr>
  </w:style>
  <w:style w:type="paragraph" w:styleId="Heading4">
    <w:name w:val="heading 4"/>
    <w:basedOn w:val="Heading1"/>
    <w:next w:val="Normal"/>
    <w:link w:val="Heading4Char"/>
    <w:uiPriority w:val="9"/>
    <w:unhideWhenUsed/>
    <w:rsid w:val="004135F6"/>
    <w:pPr>
      <w:outlineLvl w:val="3"/>
    </w:pPr>
    <w:rPr>
      <w:rFonts w:eastAsiaTheme="majorEastAsia" w:cstheme="majorBidi"/>
      <w:iCs/>
      <w:color w:val="EFBD47" w:themeColor="text2"/>
    </w:rPr>
  </w:style>
  <w:style w:type="paragraph" w:styleId="Heading5">
    <w:name w:val="heading 5"/>
    <w:basedOn w:val="Heading1"/>
    <w:next w:val="Normal"/>
    <w:link w:val="Heading5Char"/>
    <w:uiPriority w:val="9"/>
    <w:unhideWhenUsed/>
    <w:rsid w:val="004135F6"/>
    <w:pPr>
      <w:outlineLvl w:val="4"/>
    </w:pPr>
    <w:rPr>
      <w:rFonts w:eastAsiaTheme="majorEastAsia" w:cstheme="majorBidi"/>
      <w:color w:val="D55C19" w:themeColor="accent1"/>
    </w:rPr>
  </w:style>
  <w:style w:type="paragraph" w:styleId="Heading6">
    <w:name w:val="heading 6"/>
    <w:basedOn w:val="Heading1"/>
    <w:next w:val="Normal"/>
    <w:link w:val="Heading6Char"/>
    <w:uiPriority w:val="9"/>
    <w:semiHidden/>
    <w:unhideWhenUsed/>
    <w:rsid w:val="004135F6"/>
    <w:pPr>
      <w:spacing w:before="40"/>
      <w:outlineLvl w:val="5"/>
    </w:pPr>
    <w:rPr>
      <w:rFonts w:eastAsiaTheme="majorEastAsia" w:cstheme="majorBidi"/>
      <w:color w:val="A71930" w:themeColor="accent2"/>
    </w:rPr>
  </w:style>
  <w:style w:type="paragraph" w:styleId="Heading7">
    <w:name w:val="heading 7"/>
    <w:basedOn w:val="Heading1"/>
    <w:next w:val="Normal"/>
    <w:link w:val="Heading7Char"/>
    <w:uiPriority w:val="9"/>
    <w:semiHidden/>
    <w:unhideWhenUsed/>
    <w:rsid w:val="004135F6"/>
    <w:pPr>
      <w:spacing w:before="40"/>
      <w:outlineLvl w:val="6"/>
    </w:pPr>
    <w:rPr>
      <w:rFonts w:eastAsiaTheme="majorEastAsia" w:cstheme="majorBidi"/>
      <w:iCs/>
      <w:color w:val="A0CFEB" w:themeColor="accent4"/>
    </w:rPr>
  </w:style>
  <w:style w:type="paragraph" w:styleId="Heading8">
    <w:name w:val="heading 8"/>
    <w:basedOn w:val="Heading1"/>
    <w:next w:val="Normal"/>
    <w:link w:val="Heading8Char"/>
    <w:uiPriority w:val="9"/>
    <w:semiHidden/>
    <w:unhideWhenUsed/>
    <w:rsid w:val="004135F6"/>
    <w:pPr>
      <w:outlineLvl w:val="7"/>
    </w:pPr>
    <w:rPr>
      <w:rFonts w:eastAsiaTheme="majorEastAsia" w:cstheme="majorBidi"/>
      <w:color w:val="71CE9B" w:themeColor="accent5"/>
      <w:szCs w:val="21"/>
    </w:rPr>
  </w:style>
  <w:style w:type="paragraph" w:styleId="Heading9">
    <w:name w:val="heading 9"/>
    <w:basedOn w:val="Heading1"/>
    <w:next w:val="Normal"/>
    <w:link w:val="Heading9Char"/>
    <w:uiPriority w:val="9"/>
    <w:unhideWhenUsed/>
    <w:rsid w:val="004135F6"/>
    <w:pPr>
      <w:outlineLvl w:val="8"/>
    </w:pPr>
    <w:rPr>
      <w:rFonts w:eastAsiaTheme="majorEastAsia" w:cstheme="majorBidi"/>
      <w:iCs/>
      <w:color w:val="007987" w:themeColor="accent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4135F6"/>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007598"/>
    <w:rPr>
      <w:rFonts w:eastAsiaTheme="minorEastAsia" w:cs="Times New Roman (Body CS)"/>
      <w:b/>
      <w:color w:val="000000" w:themeColor="text1"/>
      <w:sz w:val="28"/>
      <w:szCs w:val="32"/>
      <w:lang w:val="en-US"/>
    </w:rPr>
  </w:style>
  <w:style w:type="paragraph" w:styleId="NoSpacing">
    <w:name w:val="No Spacing"/>
    <w:basedOn w:val="Normal"/>
    <w:uiPriority w:val="1"/>
    <w:rsid w:val="00630192"/>
  </w:style>
  <w:style w:type="paragraph" w:styleId="Title">
    <w:name w:val="Title"/>
    <w:basedOn w:val="Normal"/>
    <w:next w:val="Subhead"/>
    <w:link w:val="TitleChar"/>
    <w:autoRedefine/>
    <w:uiPriority w:val="10"/>
    <w:qFormat/>
    <w:rsid w:val="00870603"/>
    <w:pPr>
      <w:spacing w:after="40"/>
      <w:contextualSpacing/>
      <w:jc w:val="center"/>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870603"/>
    <w:rPr>
      <w:rFonts w:eastAsiaTheme="majorEastAsia" w:cs="Times New Roman (Headings CS)"/>
      <w:b/>
      <w:color w:val="201645" w:themeColor="background2"/>
      <w:kern w:val="28"/>
      <w:sz w:val="48"/>
      <w:szCs w:val="56"/>
      <w:lang w:val="en-US"/>
    </w:rPr>
  </w:style>
  <w:style w:type="character" w:customStyle="1" w:styleId="Heading3Char">
    <w:name w:val="Heading 3 Char"/>
    <w:basedOn w:val="DefaultParagraphFont"/>
    <w:link w:val="Heading3"/>
    <w:uiPriority w:val="9"/>
    <w:rsid w:val="004135F6"/>
    <w:rPr>
      <w:rFonts w:eastAsiaTheme="majorEastAsia" w:cstheme="majorBidi"/>
      <w:b/>
      <w:color w:val="201645" w:themeColor="background2"/>
      <w:sz w:val="28"/>
      <w:szCs w:val="32"/>
      <w:lang w:val="en-US"/>
    </w:rPr>
  </w:style>
  <w:style w:type="paragraph" w:styleId="Subtitle">
    <w:name w:val="Subtitle"/>
    <w:basedOn w:val="Normal"/>
    <w:next w:val="Normal"/>
    <w:link w:val="SubtitleChar"/>
    <w:uiPriority w:val="11"/>
    <w:qFormat/>
    <w:rsid w:val="00630192"/>
    <w:pPr>
      <w:numPr>
        <w:ilvl w:val="1"/>
      </w:numPr>
    </w:pPr>
    <w:rPr>
      <w:i/>
    </w:rPr>
  </w:style>
  <w:style w:type="character" w:customStyle="1" w:styleId="SubtitleChar">
    <w:name w:val="Subtitle Char"/>
    <w:basedOn w:val="DefaultParagraphFont"/>
    <w:link w:val="Subtitle"/>
    <w:uiPriority w:val="11"/>
    <w:rsid w:val="00630192"/>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qFormat/>
    <w:rsid w:val="00630192"/>
    <w:rPr>
      <w:i/>
      <w:iCs/>
      <w:color w:val="404040" w:themeColor="text1" w:themeTint="BF"/>
    </w:rPr>
  </w:style>
  <w:style w:type="character" w:styleId="Emphasis">
    <w:name w:val="Emphasis"/>
    <w:basedOn w:val="DefaultParagraphFont"/>
    <w:uiPriority w:val="20"/>
    <w:qFormat/>
    <w:rsid w:val="00630192"/>
    <w:rPr>
      <w:i/>
      <w:iCs/>
    </w:rPr>
  </w:style>
  <w:style w:type="character" w:styleId="IntenseEmphasis">
    <w:name w:val="Intense Emphasis"/>
    <w:basedOn w:val="DefaultParagraphFont"/>
    <w:uiPriority w:val="21"/>
    <w:qFormat/>
    <w:rsid w:val="00630192"/>
    <w:rPr>
      <w:b/>
      <w:i/>
      <w:iCs/>
      <w:color w:val="000000" w:themeColor="text1"/>
    </w:rPr>
  </w:style>
  <w:style w:type="character" w:styleId="Strong">
    <w:name w:val="Strong"/>
    <w:basedOn w:val="DefaultParagraphFont"/>
    <w:uiPriority w:val="22"/>
    <w:qFormat/>
    <w:rsid w:val="00630192"/>
    <w:rPr>
      <w:b/>
      <w:bCs/>
      <w:color w:val="000000" w:themeColor="text1"/>
    </w:rPr>
  </w:style>
  <w:style w:type="paragraph" w:styleId="Quote">
    <w:name w:val="Quote"/>
    <w:basedOn w:val="Normal"/>
    <w:next w:val="Normal"/>
    <w:link w:val="QuoteChar"/>
    <w:uiPriority w:val="29"/>
    <w:qFormat/>
    <w:rsid w:val="00A3382D"/>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A3382D"/>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qFormat/>
    <w:rsid w:val="00A3382D"/>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A3382D"/>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qFormat/>
    <w:rsid w:val="00630192"/>
    <w:rPr>
      <w:i/>
      <w:caps w:val="0"/>
      <w:smallCaps w:val="0"/>
      <w:color w:val="595959" w:themeColor="text1" w:themeTint="A6"/>
    </w:rPr>
  </w:style>
  <w:style w:type="character" w:styleId="IntenseReference">
    <w:name w:val="Intense Reference"/>
    <w:basedOn w:val="DefaultParagraphFont"/>
    <w:uiPriority w:val="32"/>
    <w:qFormat/>
    <w:rsid w:val="00630192"/>
    <w:rPr>
      <w:b/>
      <w:bCs/>
      <w:caps w:val="0"/>
      <w:smallCaps w:val="0"/>
      <w:color w:val="201645" w:themeColor="background2"/>
      <w:spacing w:val="5"/>
    </w:rPr>
  </w:style>
  <w:style w:type="character" w:styleId="BookTitle">
    <w:name w:val="Book Title"/>
    <w:basedOn w:val="DefaultParagraphFont"/>
    <w:uiPriority w:val="33"/>
    <w:qFormat/>
    <w:rsid w:val="00630192"/>
    <w:rPr>
      <w:b/>
      <w:bCs/>
      <w:i/>
      <w:iCs/>
      <w:spacing w:val="0"/>
    </w:rPr>
  </w:style>
  <w:style w:type="paragraph" w:styleId="ListParagraph">
    <w:name w:val="List Paragraph"/>
    <w:basedOn w:val="Normal"/>
    <w:uiPriority w:val="34"/>
    <w:qFormat/>
    <w:rsid w:val="00630192"/>
    <w:pPr>
      <w:spacing w:before="40" w:after="40"/>
      <w:ind w:left="720"/>
      <w:contextualSpacing/>
    </w:pPr>
  </w:style>
  <w:style w:type="character" w:customStyle="1" w:styleId="Heading4Char">
    <w:name w:val="Heading 4 Char"/>
    <w:basedOn w:val="DefaultParagraphFont"/>
    <w:link w:val="Heading4"/>
    <w:uiPriority w:val="9"/>
    <w:rsid w:val="004135F6"/>
    <w:rPr>
      <w:rFonts w:eastAsiaTheme="majorEastAsia" w:cstheme="majorBidi"/>
      <w:b/>
      <w:iCs/>
      <w:color w:val="EFBD47" w:themeColor="text2"/>
      <w:sz w:val="28"/>
      <w:szCs w:val="32"/>
      <w:lang w:val="en-US"/>
    </w:rPr>
  </w:style>
  <w:style w:type="character" w:customStyle="1" w:styleId="Heading5Char">
    <w:name w:val="Heading 5 Char"/>
    <w:basedOn w:val="DefaultParagraphFont"/>
    <w:link w:val="Heading5"/>
    <w:uiPriority w:val="9"/>
    <w:rsid w:val="004135F6"/>
    <w:rPr>
      <w:rFonts w:eastAsiaTheme="majorEastAsia" w:cstheme="majorBidi"/>
      <w:b/>
      <w:color w:val="D55C19" w:themeColor="accent1"/>
      <w:sz w:val="28"/>
      <w:szCs w:val="32"/>
      <w:lang w:val="en-US"/>
    </w:rPr>
  </w:style>
  <w:style w:type="character" w:customStyle="1" w:styleId="Heading6Char">
    <w:name w:val="Heading 6 Char"/>
    <w:basedOn w:val="DefaultParagraphFont"/>
    <w:link w:val="Heading6"/>
    <w:uiPriority w:val="9"/>
    <w:semiHidden/>
    <w:rsid w:val="004135F6"/>
    <w:rPr>
      <w:rFonts w:eastAsiaTheme="majorEastAsia" w:cstheme="majorBidi"/>
      <w:b/>
      <w:color w:val="A71930" w:themeColor="accent2"/>
      <w:sz w:val="28"/>
      <w:szCs w:val="32"/>
      <w:lang w:val="en-US"/>
    </w:rPr>
  </w:style>
  <w:style w:type="character" w:customStyle="1" w:styleId="Heading7Char">
    <w:name w:val="Heading 7 Char"/>
    <w:basedOn w:val="DefaultParagraphFont"/>
    <w:link w:val="Heading7"/>
    <w:uiPriority w:val="9"/>
    <w:semiHidden/>
    <w:rsid w:val="004135F6"/>
    <w:rPr>
      <w:rFonts w:eastAsiaTheme="majorEastAsia" w:cstheme="majorBidi"/>
      <w:b/>
      <w:iCs/>
      <w:color w:val="A0CFEB" w:themeColor="accent4"/>
      <w:sz w:val="28"/>
      <w:szCs w:val="32"/>
      <w:lang w:val="en-US"/>
    </w:rPr>
  </w:style>
  <w:style w:type="character" w:customStyle="1" w:styleId="Heading8Char">
    <w:name w:val="Heading 8 Char"/>
    <w:basedOn w:val="DefaultParagraphFont"/>
    <w:link w:val="Heading8"/>
    <w:uiPriority w:val="9"/>
    <w:semiHidden/>
    <w:rsid w:val="004135F6"/>
    <w:rPr>
      <w:rFonts w:eastAsiaTheme="majorEastAsia" w:cstheme="majorBidi"/>
      <w:b/>
      <w:color w:val="71CE9B" w:themeColor="accent5"/>
      <w:sz w:val="28"/>
      <w:szCs w:val="21"/>
      <w:lang w:val="en-US"/>
    </w:rPr>
  </w:style>
  <w:style w:type="character" w:customStyle="1" w:styleId="Heading9Char">
    <w:name w:val="Heading 9 Char"/>
    <w:basedOn w:val="DefaultParagraphFont"/>
    <w:link w:val="Heading9"/>
    <w:uiPriority w:val="9"/>
    <w:rsid w:val="004135F6"/>
    <w:rPr>
      <w:rFonts w:eastAsiaTheme="majorEastAsia" w:cstheme="majorBidi"/>
      <w:b/>
      <w:iCs/>
      <w:color w:val="007987" w:themeColor="accent6"/>
      <w:sz w:val="28"/>
      <w:szCs w:val="21"/>
      <w:lang w:val="en-US"/>
    </w:rPr>
  </w:style>
  <w:style w:type="paragraph" w:customStyle="1" w:styleId="Subhead">
    <w:name w:val="Subhead"/>
    <w:next w:val="Normal"/>
    <w:qFormat/>
    <w:rsid w:val="00007598"/>
    <w:pPr>
      <w:spacing w:after="240"/>
    </w:pPr>
    <w:rPr>
      <w:rFonts w:asciiTheme="majorHAnsi" w:hAnsiTheme="majorHAnsi" w:cs="Arial"/>
      <w:color w:val="201645" w:themeColor="background2"/>
      <w:sz w:val="40"/>
      <w:szCs w:val="22"/>
    </w:rPr>
  </w:style>
  <w:style w:type="paragraph" w:styleId="ListBullet">
    <w:name w:val="List Bullet"/>
    <w:basedOn w:val="Normal"/>
    <w:uiPriority w:val="99"/>
    <w:unhideWhenUsed/>
    <w:qFormat/>
    <w:rsid w:val="00007598"/>
    <w:pPr>
      <w:numPr>
        <w:numId w:val="10"/>
      </w:numPr>
      <w:spacing w:before="40" w:after="40"/>
      <w:ind w:left="714" w:hanging="357"/>
      <w:contextualSpacing/>
    </w:pPr>
  </w:style>
  <w:style w:type="table" w:styleId="TableGrid">
    <w:name w:val="Table Grid"/>
    <w:basedOn w:val="TableNormal"/>
    <w:uiPriority w:val="59"/>
    <w:rsid w:val="00DB34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34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45F"/>
    <w:rPr>
      <w:rFonts w:ascii="Segoe UI" w:eastAsiaTheme="minorEastAsia" w:hAnsi="Segoe UI" w:cs="Segoe UI"/>
      <w:color w:val="000000" w:themeColor="text1"/>
      <w:sz w:val="18"/>
      <w:szCs w:val="18"/>
      <w:lang w:val="en-US"/>
    </w:rPr>
  </w:style>
  <w:style w:type="paragraph" w:customStyle="1" w:styleId="MHPBody">
    <w:name w:val="MHP Body"/>
    <w:basedOn w:val="Normal"/>
    <w:rsid w:val="00870603"/>
    <w:pPr>
      <w:spacing w:line="276" w:lineRule="auto"/>
    </w:pPr>
    <w:rPr>
      <w:rFonts w:asciiTheme="minorHAnsi" w:eastAsia="Times New Roman" w:hAnsiTheme="minorHAnsi" w:cs="Times New Roman"/>
      <w:color w:val="auto"/>
      <w:szCs w:val="20"/>
      <w:lang w:val="en-AU" w:eastAsia="en-AU"/>
    </w:rPr>
  </w:style>
  <w:style w:type="paragraph" w:styleId="BodyText">
    <w:name w:val="Body Text"/>
    <w:basedOn w:val="Normal"/>
    <w:link w:val="BodyTextChar"/>
    <w:rsid w:val="00FA6D6F"/>
    <w:pPr>
      <w:spacing w:before="240" w:after="120"/>
    </w:pPr>
    <w:rPr>
      <w:rFonts w:ascii="Times New Roman" w:hAnsi="Times New Roman" w:cstheme="minorBidi"/>
      <w:color w:val="auto"/>
      <w:szCs w:val="22"/>
    </w:rPr>
  </w:style>
  <w:style w:type="character" w:customStyle="1" w:styleId="BodyTextChar">
    <w:name w:val="Body Text Char"/>
    <w:basedOn w:val="DefaultParagraphFont"/>
    <w:link w:val="BodyText"/>
    <w:rsid w:val="00FA6D6F"/>
    <w:rPr>
      <w:rFonts w:ascii="Times New Roman" w:eastAsiaTheme="minorEastAsia" w:hAnsi="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34FC0-03AD-4F58-BDA2-8BFB4B31A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12</Pages>
  <Words>3217</Words>
  <Characters>18343</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Turpin</dc:creator>
  <cp:keywords/>
  <dc:description/>
  <cp:lastModifiedBy>Simon Moss</cp:lastModifiedBy>
  <cp:revision>48</cp:revision>
  <cp:lastPrinted>2021-01-27T23:33:00Z</cp:lastPrinted>
  <dcterms:created xsi:type="dcterms:W3CDTF">2021-02-01T01:42:00Z</dcterms:created>
  <dcterms:modified xsi:type="dcterms:W3CDTF">2021-05-14T02:53:00Z</dcterms:modified>
</cp:coreProperties>
</file>