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D9643" w14:textId="6E447B84" w:rsidR="00B74BEC" w:rsidRDefault="00B74BEC" w:rsidP="00D2341D">
      <w:pPr>
        <w:spacing w:line="276" w:lineRule="auto"/>
        <w:rPr>
          <w:rFonts w:cstheme="majorHAnsi"/>
        </w:rPr>
      </w:pPr>
    </w:p>
    <w:p w14:paraId="544361BA" w14:textId="3808F044" w:rsidR="00553373" w:rsidRDefault="00553373" w:rsidP="00D2341D">
      <w:pPr>
        <w:spacing w:line="276" w:lineRule="auto"/>
        <w:rPr>
          <w:rFonts w:cstheme="majorHAnsi"/>
        </w:rPr>
      </w:pPr>
    </w:p>
    <w:p w14:paraId="49F6366C" w14:textId="05929F49" w:rsidR="00553373" w:rsidRDefault="00553373" w:rsidP="00D2341D">
      <w:pPr>
        <w:spacing w:line="276" w:lineRule="auto"/>
        <w:rPr>
          <w:rFonts w:cstheme="majorHAnsi"/>
        </w:rPr>
      </w:pPr>
    </w:p>
    <w:p w14:paraId="21BDD5ED" w14:textId="77777777" w:rsidR="00553373" w:rsidRDefault="00553373" w:rsidP="00553373">
      <w:pPr>
        <w:pStyle w:val="Title"/>
      </w:pPr>
    </w:p>
    <w:p w14:paraId="385F548D" w14:textId="77777777" w:rsidR="00553373" w:rsidRDefault="00553373" w:rsidP="00553373">
      <w:pPr>
        <w:pStyle w:val="Title"/>
      </w:pPr>
    </w:p>
    <w:p w14:paraId="64F56306" w14:textId="0AC4BBA5" w:rsidR="00553373" w:rsidRDefault="00553373" w:rsidP="00553373">
      <w:pPr>
        <w:pStyle w:val="Title"/>
      </w:pPr>
      <w:r>
        <w:t>When can candidates study overseas?</w:t>
      </w:r>
    </w:p>
    <w:p w14:paraId="4639C1E2" w14:textId="77777777" w:rsidR="00553373" w:rsidRPr="00B74BEC" w:rsidRDefault="00553373" w:rsidP="00D2341D">
      <w:pPr>
        <w:spacing w:line="276" w:lineRule="auto"/>
        <w:rPr>
          <w:rFonts w:cstheme="majorHAnsi"/>
        </w:rPr>
      </w:pPr>
    </w:p>
    <w:p w14:paraId="424918D3" w14:textId="77777777" w:rsidR="0049652E" w:rsidRPr="00764615" w:rsidRDefault="0049652E" w:rsidP="0049652E">
      <w:pPr>
        <w:spacing w:line="276" w:lineRule="auto"/>
        <w:rPr>
          <w:rFonts w:cstheme="majorHAnsi"/>
          <w:szCs w:val="22"/>
        </w:rPr>
      </w:pPr>
    </w:p>
    <w:p w14:paraId="503CDF95" w14:textId="5FBF79C3" w:rsidR="00E463B1" w:rsidRDefault="0049652E" w:rsidP="00E463B1">
      <w:pPr>
        <w:spacing w:line="276" w:lineRule="auto"/>
        <w:rPr>
          <w:rFonts w:cstheme="majorHAnsi"/>
          <w:szCs w:val="22"/>
        </w:rPr>
      </w:pPr>
      <w:r w:rsidRPr="00764615">
        <w:rPr>
          <w:rFonts w:cstheme="majorHAnsi"/>
          <w:szCs w:val="22"/>
        </w:rPr>
        <w:t xml:space="preserve">At CDU, most research </w:t>
      </w:r>
      <w:proofErr w:type="gramStart"/>
      <w:r w:rsidRPr="00764615">
        <w:rPr>
          <w:rFonts w:cstheme="majorHAnsi"/>
          <w:szCs w:val="22"/>
        </w:rPr>
        <w:t>candidates</w:t>
      </w:r>
      <w:proofErr w:type="gramEnd"/>
      <w:r w:rsidRPr="00764615">
        <w:rPr>
          <w:rFonts w:cstheme="majorHAnsi"/>
          <w:szCs w:val="22"/>
        </w:rPr>
        <w:t xml:space="preserve"> </w:t>
      </w:r>
      <w:r w:rsidR="00E463B1">
        <w:rPr>
          <w:rFonts w:cstheme="majorHAnsi"/>
          <w:szCs w:val="22"/>
        </w:rPr>
        <w:t>study</w:t>
      </w:r>
      <w:r w:rsidRPr="00764615">
        <w:rPr>
          <w:rFonts w:cstheme="majorHAnsi"/>
          <w:szCs w:val="22"/>
        </w:rPr>
        <w:t xml:space="preserve"> in Australia, typically in Darwin.  According to </w:t>
      </w:r>
      <w:r w:rsidR="00E463B1">
        <w:rPr>
          <w:rFonts w:cstheme="majorHAnsi"/>
          <w:szCs w:val="22"/>
        </w:rPr>
        <w:t xml:space="preserve">existing </w:t>
      </w:r>
      <w:r w:rsidRPr="00764615">
        <w:rPr>
          <w:rFonts w:cstheme="majorHAnsi"/>
          <w:szCs w:val="22"/>
        </w:rPr>
        <w:t>policies, candidates</w:t>
      </w:r>
      <w:r w:rsidR="001562E1">
        <w:rPr>
          <w:rFonts w:cstheme="majorHAnsi"/>
          <w:szCs w:val="22"/>
        </w:rPr>
        <w:t xml:space="preserve"> who receive</w:t>
      </w:r>
      <w:r w:rsidR="001562E1" w:rsidRPr="00764615">
        <w:rPr>
          <w:rFonts w:cstheme="majorHAnsi"/>
          <w:szCs w:val="22"/>
        </w:rPr>
        <w:t xml:space="preserve"> an RTP stipend</w:t>
      </w:r>
      <w:r w:rsidRPr="00764615">
        <w:rPr>
          <w:rFonts w:cstheme="majorHAnsi"/>
          <w:szCs w:val="22"/>
        </w:rPr>
        <w:t xml:space="preserve"> must be located in Australia during </w:t>
      </w:r>
      <w:r w:rsidR="001562E1">
        <w:rPr>
          <w:rFonts w:cstheme="majorHAnsi"/>
          <w:szCs w:val="22"/>
        </w:rPr>
        <w:t>no more than 25%</w:t>
      </w:r>
      <w:r w:rsidRPr="00764615">
        <w:rPr>
          <w:rFonts w:cstheme="majorHAnsi"/>
          <w:szCs w:val="22"/>
        </w:rPr>
        <w:t xml:space="preserve"> of their maximum candidature.  However, because of travel restrictions, family obligations, or other events</w:t>
      </w:r>
      <w:r w:rsidR="00E463B1">
        <w:rPr>
          <w:rFonts w:cstheme="majorHAnsi"/>
          <w:szCs w:val="22"/>
        </w:rPr>
        <w:t xml:space="preserve">, </w:t>
      </w:r>
      <w:r w:rsidRPr="00E463B1">
        <w:rPr>
          <w:rFonts w:cstheme="majorHAnsi"/>
          <w:szCs w:val="22"/>
        </w:rPr>
        <w:t xml:space="preserve">some candidates </w:t>
      </w:r>
      <w:r w:rsidR="00E463B1" w:rsidRPr="00E463B1">
        <w:rPr>
          <w:rFonts w:cstheme="majorHAnsi"/>
          <w:szCs w:val="22"/>
        </w:rPr>
        <w:t>may</w:t>
      </w:r>
      <w:r w:rsidRPr="00E463B1">
        <w:rPr>
          <w:rFonts w:cstheme="majorHAnsi"/>
          <w:szCs w:val="22"/>
        </w:rPr>
        <w:t xml:space="preserve"> be located outside Australia during more than 25% of their maximum candidature</w:t>
      </w:r>
      <w:r w:rsidR="00E463B1">
        <w:rPr>
          <w:rFonts w:cstheme="majorHAnsi"/>
          <w:szCs w:val="22"/>
        </w:rPr>
        <w:t xml:space="preserve">.  This document clarifies </w:t>
      </w:r>
      <w:r w:rsidR="00E463B1" w:rsidRPr="00764615">
        <w:rPr>
          <w:rFonts w:cstheme="majorHAnsi"/>
          <w:szCs w:val="22"/>
        </w:rPr>
        <w:t>the circumstances in which</w:t>
      </w:r>
      <w:r w:rsidR="00E463B1">
        <w:rPr>
          <w:rFonts w:cstheme="majorHAnsi"/>
          <w:szCs w:val="22"/>
        </w:rPr>
        <w:t xml:space="preserve"> </w:t>
      </w:r>
      <w:r w:rsidR="007F7A62">
        <w:rPr>
          <w:rFonts w:cstheme="majorHAnsi"/>
          <w:szCs w:val="22"/>
        </w:rPr>
        <w:t xml:space="preserve">these deviations may be permitted.   </w:t>
      </w:r>
    </w:p>
    <w:p w14:paraId="6344712F" w14:textId="08B0F33E" w:rsidR="00E463B1" w:rsidRDefault="00E463B1" w:rsidP="00E463B1">
      <w:pPr>
        <w:spacing w:line="276" w:lineRule="auto"/>
        <w:rPr>
          <w:rFonts w:cstheme="majorHAnsi"/>
          <w:szCs w:val="22"/>
        </w:rPr>
      </w:pPr>
    </w:p>
    <w:p w14:paraId="07703545" w14:textId="76B83DD4" w:rsidR="00C8087F" w:rsidRDefault="00C8087F" w:rsidP="00E463B1">
      <w:pPr>
        <w:spacing w:line="276" w:lineRule="auto"/>
        <w:rPr>
          <w:rFonts w:cstheme="majorHAnsi"/>
          <w:szCs w:val="22"/>
        </w:rPr>
      </w:pPr>
    </w:p>
    <w:p w14:paraId="1528DCD6" w14:textId="77777777" w:rsidR="00C8087F" w:rsidRDefault="00C8087F" w:rsidP="00E463B1">
      <w:pPr>
        <w:spacing w:line="276" w:lineRule="auto"/>
        <w:rPr>
          <w:rFonts w:cstheme="majorHAnsi"/>
          <w:szCs w:val="22"/>
        </w:rPr>
      </w:pPr>
    </w:p>
    <w:p w14:paraId="305F4229" w14:textId="1D8053D5" w:rsidR="00E463B1" w:rsidRPr="00E463B1" w:rsidRDefault="00E463B1" w:rsidP="00E463B1">
      <w:pPr>
        <w:spacing w:line="276" w:lineRule="auto"/>
        <w:rPr>
          <w:rFonts w:cstheme="majorHAnsi"/>
          <w:b/>
          <w:bCs/>
          <w:szCs w:val="22"/>
        </w:rPr>
      </w:pPr>
      <w:r>
        <w:rPr>
          <w:rFonts w:cstheme="majorHAnsi"/>
          <w:b/>
          <w:bCs/>
          <w:szCs w:val="22"/>
        </w:rPr>
        <w:t>A taxonomy to guide decisions around overseas study</w:t>
      </w:r>
    </w:p>
    <w:p w14:paraId="037058AA" w14:textId="03B8F54C" w:rsidR="00E463B1" w:rsidRDefault="00E463B1" w:rsidP="00E463B1">
      <w:pPr>
        <w:spacing w:line="276" w:lineRule="auto"/>
        <w:rPr>
          <w:rFonts w:cstheme="majorHAnsi"/>
          <w:szCs w:val="22"/>
        </w:rPr>
      </w:pPr>
    </w:p>
    <w:p w14:paraId="22C42DA3" w14:textId="4F13C34F" w:rsidR="00E463B1" w:rsidRDefault="00E463B1" w:rsidP="00E463B1">
      <w:p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 xml:space="preserve">To ascertain which candidates can study overseas over extended periods—and to manage these candidates effectively—CDU </w:t>
      </w:r>
      <w:r w:rsidR="009B6B5F">
        <w:rPr>
          <w:rFonts w:cstheme="majorHAnsi"/>
          <w:szCs w:val="22"/>
        </w:rPr>
        <w:t xml:space="preserve">should </w:t>
      </w:r>
      <w:r>
        <w:rPr>
          <w:rFonts w:cstheme="majorHAnsi"/>
          <w:szCs w:val="22"/>
        </w:rPr>
        <w:t>apply the following table.   To utilize this table</w:t>
      </w:r>
    </w:p>
    <w:p w14:paraId="40E7B7D9" w14:textId="1484D315" w:rsidR="00E463B1" w:rsidRDefault="00E463B1" w:rsidP="00E463B1">
      <w:pPr>
        <w:spacing w:line="276" w:lineRule="auto"/>
        <w:rPr>
          <w:rFonts w:cstheme="majorHAnsi"/>
          <w:szCs w:val="22"/>
        </w:rPr>
      </w:pPr>
    </w:p>
    <w:p w14:paraId="46A27889" w14:textId="55477D0D" w:rsidR="00E463B1" w:rsidRDefault="005377F7" w:rsidP="00E463B1">
      <w:pPr>
        <w:pStyle w:val="ListParagraph"/>
        <w:numPr>
          <w:ilvl w:val="0"/>
          <w:numId w:val="22"/>
        </w:num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 xml:space="preserve">scan the first column to determine </w:t>
      </w:r>
      <w:r w:rsidR="009B6B5F">
        <w:rPr>
          <w:rFonts w:cstheme="majorHAnsi"/>
          <w:szCs w:val="22"/>
        </w:rPr>
        <w:t>whether data needs to be collected in Australia or not</w:t>
      </w:r>
    </w:p>
    <w:p w14:paraId="195B4BB9" w14:textId="7A37D2BA" w:rsidR="005377F7" w:rsidRDefault="005377F7" w:rsidP="00E463B1">
      <w:pPr>
        <w:pStyle w:val="ListParagraph"/>
        <w:numPr>
          <w:ilvl w:val="0"/>
          <w:numId w:val="22"/>
        </w:num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>in the</w:t>
      </w:r>
      <w:r w:rsidR="009B6B5F">
        <w:rPr>
          <w:rFonts w:cstheme="majorHAnsi"/>
          <w:szCs w:val="22"/>
        </w:rPr>
        <w:t xml:space="preserve"> two</w:t>
      </w:r>
      <w:r>
        <w:rPr>
          <w:rFonts w:cstheme="majorHAnsi"/>
          <w:szCs w:val="22"/>
        </w:rPr>
        <w:t xml:space="preserve"> rows that correspond to this cluster, scan the second column to determine the level of financial support the candidate is receiving</w:t>
      </w:r>
    </w:p>
    <w:p w14:paraId="1F516617" w14:textId="0576E545" w:rsidR="005377F7" w:rsidRDefault="005377F7" w:rsidP="005377F7">
      <w:pPr>
        <w:pStyle w:val="ListParagraph"/>
        <w:numPr>
          <w:ilvl w:val="0"/>
          <w:numId w:val="22"/>
        </w:num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 xml:space="preserve">in the row that corresponds to this level of financial support, </w:t>
      </w:r>
      <w:r w:rsidRPr="005377F7">
        <w:rPr>
          <w:rFonts w:cstheme="majorHAnsi"/>
          <w:szCs w:val="22"/>
        </w:rPr>
        <w:t>read the third and fourth columns</w:t>
      </w:r>
    </w:p>
    <w:p w14:paraId="3D463074" w14:textId="7E8197D4" w:rsidR="005377F7" w:rsidRPr="005377F7" w:rsidRDefault="005377F7" w:rsidP="005377F7">
      <w:pPr>
        <w:pStyle w:val="ListParagraph"/>
        <w:numPr>
          <w:ilvl w:val="0"/>
          <w:numId w:val="22"/>
        </w:num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 xml:space="preserve">these columns specify the risks </w:t>
      </w:r>
      <w:r w:rsidR="00FA047D">
        <w:rPr>
          <w:rFonts w:cstheme="majorHAnsi"/>
          <w:szCs w:val="22"/>
        </w:rPr>
        <w:t xml:space="preserve">of </w:t>
      </w:r>
      <w:r w:rsidR="009B6B5F">
        <w:rPr>
          <w:rFonts w:cstheme="majorHAnsi"/>
          <w:szCs w:val="22"/>
        </w:rPr>
        <w:t>studying</w:t>
      </w:r>
      <w:r w:rsidR="00FA047D">
        <w:rPr>
          <w:rFonts w:cstheme="majorHAnsi"/>
          <w:szCs w:val="22"/>
        </w:rPr>
        <w:t xml:space="preserve"> overseas</w:t>
      </w:r>
      <w:r>
        <w:rPr>
          <w:rFonts w:cstheme="majorHAnsi"/>
          <w:szCs w:val="22"/>
        </w:rPr>
        <w:t xml:space="preserve"> and appropriate measures to manage these risks</w:t>
      </w:r>
    </w:p>
    <w:p w14:paraId="69A72425" w14:textId="5B1783A8" w:rsidR="00E463B1" w:rsidRDefault="00E463B1" w:rsidP="00E463B1">
      <w:pPr>
        <w:spacing w:line="276" w:lineRule="auto"/>
        <w:rPr>
          <w:rFonts w:cstheme="majorHAnsi"/>
          <w:szCs w:val="22"/>
        </w:rPr>
      </w:pPr>
    </w:p>
    <w:p w14:paraId="4D1AA5D0" w14:textId="0C212264" w:rsidR="00E463B1" w:rsidRDefault="00C8087F" w:rsidP="00413B8B">
      <w:pPr>
        <w:rPr>
          <w:rFonts w:cstheme="majorHAnsi"/>
          <w:szCs w:val="22"/>
        </w:rPr>
      </w:pPr>
      <w:r>
        <w:rPr>
          <w:rFonts w:cstheme="majorHAnsi"/>
          <w:szCs w:val="22"/>
        </w:rPr>
        <w:br w:type="page"/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80" w:firstRow="0" w:lastRow="0" w:firstColumn="1" w:lastColumn="0" w:noHBand="0" w:noVBand="1"/>
      </w:tblPr>
      <w:tblGrid>
        <w:gridCol w:w="1813"/>
        <w:gridCol w:w="1701"/>
        <w:gridCol w:w="2410"/>
        <w:gridCol w:w="3286"/>
      </w:tblGrid>
      <w:tr w:rsidR="005377F7" w:rsidRPr="00B74BEC" w14:paraId="1671020C" w14:textId="53496306" w:rsidTr="004D64EF">
        <w:tc>
          <w:tcPr>
            <w:tcW w:w="1813" w:type="dxa"/>
            <w:shd w:val="clear" w:color="auto" w:fill="C6EBD6" w:themeFill="accent5" w:themeFillTint="66"/>
          </w:tcPr>
          <w:p w14:paraId="348CD8AC" w14:textId="35B1A124" w:rsidR="005377F7" w:rsidRPr="00B74BEC" w:rsidRDefault="005377F7" w:rsidP="00927914">
            <w:pPr>
              <w:spacing w:line="276" w:lineRule="auto"/>
              <w:jc w:val="center"/>
              <w:rPr>
                <w:rFonts w:cstheme="majorHAnsi"/>
              </w:rPr>
            </w:pPr>
            <w:r>
              <w:rPr>
                <w:rFonts w:cstheme="majorHAnsi"/>
                <w:bCs/>
              </w:rPr>
              <w:lastRenderedPageBreak/>
              <w:t>Cluster of projects</w:t>
            </w:r>
          </w:p>
        </w:tc>
        <w:tc>
          <w:tcPr>
            <w:tcW w:w="1701" w:type="dxa"/>
            <w:shd w:val="clear" w:color="auto" w:fill="C6EBD6" w:themeFill="accent5" w:themeFillTint="66"/>
          </w:tcPr>
          <w:p w14:paraId="1A610106" w14:textId="14605638" w:rsidR="005377F7" w:rsidRPr="00B74BEC" w:rsidRDefault="005377F7" w:rsidP="00927914">
            <w:pPr>
              <w:spacing w:line="276" w:lineRule="auto"/>
              <w:jc w:val="center"/>
              <w:rPr>
                <w:rFonts w:cstheme="majorHAnsi"/>
              </w:rPr>
            </w:pPr>
            <w:r>
              <w:rPr>
                <w:rFonts w:cstheme="majorHAnsi"/>
                <w:bCs/>
              </w:rPr>
              <w:t>Financial support</w:t>
            </w:r>
          </w:p>
        </w:tc>
        <w:tc>
          <w:tcPr>
            <w:tcW w:w="2410" w:type="dxa"/>
            <w:shd w:val="clear" w:color="auto" w:fill="C6EBD6" w:themeFill="accent5" w:themeFillTint="66"/>
          </w:tcPr>
          <w:p w14:paraId="2EEDFDD8" w14:textId="17756C06" w:rsidR="005377F7" w:rsidRPr="00B74BEC" w:rsidRDefault="005377F7" w:rsidP="00927914">
            <w:pPr>
              <w:spacing w:line="276" w:lineRule="auto"/>
              <w:jc w:val="center"/>
              <w:rPr>
                <w:rFonts w:cstheme="majorHAnsi"/>
                <w:bCs/>
              </w:rPr>
            </w:pPr>
            <w:r>
              <w:rPr>
                <w:rFonts w:cstheme="majorHAnsi"/>
                <w:bCs/>
              </w:rPr>
              <w:t>Risks</w:t>
            </w:r>
            <w:r w:rsidR="00FA047D">
              <w:rPr>
                <w:rFonts w:cstheme="majorHAnsi"/>
                <w:bCs/>
              </w:rPr>
              <w:t xml:space="preserve"> of overseas projects</w:t>
            </w:r>
          </w:p>
        </w:tc>
        <w:tc>
          <w:tcPr>
            <w:tcW w:w="3286" w:type="dxa"/>
            <w:shd w:val="clear" w:color="auto" w:fill="C6EBD6" w:themeFill="accent5" w:themeFillTint="66"/>
          </w:tcPr>
          <w:p w14:paraId="4168B020" w14:textId="4153C7EA" w:rsidR="005377F7" w:rsidRPr="00B74BEC" w:rsidRDefault="005377F7" w:rsidP="00927914">
            <w:pPr>
              <w:spacing w:line="276" w:lineRule="auto"/>
              <w:jc w:val="center"/>
              <w:rPr>
                <w:rFonts w:cstheme="majorHAnsi"/>
                <w:bCs/>
              </w:rPr>
            </w:pPr>
            <w:r>
              <w:rPr>
                <w:rFonts w:cstheme="majorHAnsi"/>
                <w:bCs/>
              </w:rPr>
              <w:t>Suitable responses</w:t>
            </w:r>
          </w:p>
        </w:tc>
      </w:tr>
      <w:tr w:rsidR="00C8087F" w:rsidRPr="00B74BEC" w14:paraId="3E4B25F1" w14:textId="68399862" w:rsidTr="004D64EF">
        <w:trPr>
          <w:trHeight w:val="1454"/>
        </w:trPr>
        <w:tc>
          <w:tcPr>
            <w:tcW w:w="1813" w:type="dxa"/>
            <w:vMerge w:val="restart"/>
            <w:shd w:val="clear" w:color="auto" w:fill="D9D9D9" w:themeFill="background1" w:themeFillShade="D9"/>
          </w:tcPr>
          <w:p w14:paraId="215CADAF" w14:textId="77777777" w:rsidR="00EB10D8" w:rsidRDefault="00C8087F" w:rsidP="00EB10D8">
            <w:pPr>
              <w:spacing w:line="276" w:lineRule="auto"/>
              <w:rPr>
                <w:rFonts w:cstheme="majorHAnsi"/>
              </w:rPr>
            </w:pPr>
            <w:r w:rsidRPr="00EB10D8">
              <w:rPr>
                <w:rFonts w:cstheme="majorHAnsi"/>
              </w:rPr>
              <w:t>The candidate does not need to travel to collect data.  For example</w:t>
            </w:r>
          </w:p>
          <w:p w14:paraId="735E8A0B" w14:textId="77777777" w:rsidR="00EB10D8" w:rsidRDefault="00EB10D8" w:rsidP="00EB10D8">
            <w:pPr>
              <w:spacing w:line="276" w:lineRule="auto"/>
              <w:rPr>
                <w:rFonts w:cstheme="majorHAnsi"/>
              </w:rPr>
            </w:pPr>
          </w:p>
          <w:p w14:paraId="22842D09" w14:textId="77777777" w:rsidR="00EB10D8" w:rsidRDefault="00C8087F" w:rsidP="00EB10D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cstheme="majorHAnsi"/>
              </w:rPr>
            </w:pPr>
            <w:r w:rsidRPr="00EB10D8">
              <w:rPr>
                <w:rFonts w:cstheme="majorHAnsi"/>
              </w:rPr>
              <w:t>the data may be collected online</w:t>
            </w:r>
          </w:p>
          <w:p w14:paraId="0868490D" w14:textId="041B331A" w:rsidR="00C8087F" w:rsidRPr="00EB10D8" w:rsidRDefault="00C8087F" w:rsidP="00EB10D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cstheme="majorHAnsi"/>
              </w:rPr>
            </w:pPr>
            <w:r w:rsidRPr="00EB10D8">
              <w:rPr>
                <w:rFonts w:cstheme="majorHAnsi"/>
              </w:rPr>
              <w:t>the thesis is not empirical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9E3661C" w14:textId="33D11F08" w:rsidR="00FA047D" w:rsidRDefault="00FA047D" w:rsidP="00FA047D">
            <w:pPr>
              <w:spacing w:line="276" w:lineRule="auto"/>
              <w:rPr>
                <w:rFonts w:cstheme="majorHAnsi"/>
              </w:rPr>
            </w:pPr>
            <w:r>
              <w:rPr>
                <w:rFonts w:cstheme="majorHAnsi"/>
              </w:rPr>
              <w:t>The candidate was not granted a stipend or can access this stipend</w:t>
            </w:r>
          </w:p>
          <w:p w14:paraId="2883CDD9" w14:textId="42B87E80" w:rsidR="00C8087F" w:rsidRPr="00FA047D" w:rsidRDefault="00C8087F" w:rsidP="00FA047D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637CCD2E" w14:textId="0B099A36" w:rsidR="00C8087F" w:rsidRPr="00FA047D" w:rsidRDefault="00FA047D" w:rsidP="00FA047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cstheme="majorHAnsi"/>
              </w:rPr>
            </w:pPr>
            <w:r>
              <w:rPr>
                <w:rFonts w:cstheme="majorHAnsi"/>
              </w:rPr>
              <w:t>The candidate is not exposed to a helpful research culture, compromising quality and development</w:t>
            </w:r>
          </w:p>
        </w:tc>
        <w:tc>
          <w:tcPr>
            <w:tcW w:w="3286" w:type="dxa"/>
            <w:shd w:val="clear" w:color="auto" w:fill="D9D9D9" w:themeFill="background1" w:themeFillShade="D9"/>
          </w:tcPr>
          <w:p w14:paraId="67E0C224" w14:textId="4C197A81" w:rsidR="00FA047D" w:rsidRDefault="00FA047D" w:rsidP="00FA047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cstheme="majorHAnsi"/>
              </w:rPr>
            </w:pPr>
            <w:r>
              <w:rPr>
                <w:rFonts w:cstheme="majorHAnsi"/>
              </w:rPr>
              <w:t>CDU will permit the candidate to continue the research overseas</w:t>
            </w:r>
          </w:p>
          <w:p w14:paraId="0497E2DD" w14:textId="71A2C309" w:rsidR="00FA047D" w:rsidRPr="00FA047D" w:rsidRDefault="00FA047D" w:rsidP="00FA047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cstheme="majorHAnsi"/>
              </w:rPr>
            </w:pPr>
            <w:r>
              <w:rPr>
                <w:rFonts w:cstheme="majorHAnsi"/>
              </w:rPr>
              <w:t>Supervisors should arrange opportunities to expose candidates to this research culture</w:t>
            </w:r>
            <w:r w:rsidR="00413B8B">
              <w:rPr>
                <w:rFonts w:cstheme="majorHAnsi"/>
              </w:rPr>
              <w:t>—such as lab meetings on Zoom</w:t>
            </w:r>
          </w:p>
        </w:tc>
      </w:tr>
      <w:tr w:rsidR="00C8087F" w:rsidRPr="00B74BEC" w14:paraId="5014C51B" w14:textId="77777777" w:rsidTr="004D64EF">
        <w:trPr>
          <w:trHeight w:val="762"/>
        </w:trPr>
        <w:tc>
          <w:tcPr>
            <w:tcW w:w="1813" w:type="dxa"/>
            <w:vMerge/>
            <w:shd w:val="clear" w:color="auto" w:fill="D9D9D9" w:themeFill="background1" w:themeFillShade="D9"/>
          </w:tcPr>
          <w:p w14:paraId="3D115167" w14:textId="77777777" w:rsidR="00C8087F" w:rsidRPr="00EB10D8" w:rsidRDefault="00C8087F" w:rsidP="00C8087F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6C691F6" w14:textId="1C365397" w:rsidR="00C8087F" w:rsidRPr="005377F7" w:rsidRDefault="00FA047D" w:rsidP="005377F7">
            <w:pPr>
              <w:spacing w:line="276" w:lineRule="auto"/>
              <w:rPr>
                <w:rFonts w:cstheme="majorHAnsi"/>
              </w:rPr>
            </w:pPr>
            <w:r w:rsidRPr="00FA047D">
              <w:rPr>
                <w:rFonts w:cstheme="majorHAnsi"/>
              </w:rPr>
              <w:t>The candidate was granted a stipend but cannot access this fund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595400B" w14:textId="77777777" w:rsidR="00C8087F" w:rsidRDefault="00FA047D" w:rsidP="00FA047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cstheme="majorHAnsi"/>
              </w:rPr>
            </w:pPr>
            <w:r>
              <w:rPr>
                <w:rFonts w:cstheme="majorHAnsi"/>
              </w:rPr>
              <w:t>As above</w:t>
            </w:r>
          </w:p>
          <w:p w14:paraId="020DE529" w14:textId="47AC675E" w:rsidR="00FA047D" w:rsidRDefault="00FA047D" w:rsidP="00FA047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cstheme="majorHAnsi"/>
              </w:rPr>
            </w:pPr>
            <w:r>
              <w:rPr>
                <w:rFonts w:cstheme="majorHAnsi"/>
              </w:rPr>
              <w:t>The candidate may also experience financial challenges</w:t>
            </w:r>
          </w:p>
          <w:p w14:paraId="3ADA8B9E" w14:textId="565727CA" w:rsidR="00960C42" w:rsidRPr="00960C42" w:rsidRDefault="00FA047D" w:rsidP="00960C42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The candidate may </w:t>
            </w:r>
            <w:r w:rsidR="008B7B4D">
              <w:rPr>
                <w:rFonts w:cstheme="majorHAnsi"/>
              </w:rPr>
              <w:t>stall</w:t>
            </w:r>
            <w:r w:rsidR="00960C42">
              <w:rPr>
                <w:rFonts w:cstheme="majorHAnsi"/>
              </w:rPr>
              <w:t xml:space="preserve"> </w:t>
            </w:r>
            <w:r w:rsidR="008B7B4D">
              <w:rPr>
                <w:rFonts w:cstheme="majorHAnsi"/>
              </w:rPr>
              <w:t>or</w:t>
            </w:r>
            <w:r w:rsidR="00960C42">
              <w:rPr>
                <w:rFonts w:cstheme="majorHAnsi"/>
              </w:rPr>
              <w:t xml:space="preserve"> withdraw—squandering past </w:t>
            </w:r>
            <w:r w:rsidR="008B7B4D">
              <w:rPr>
                <w:rFonts w:cstheme="majorHAnsi"/>
              </w:rPr>
              <w:t xml:space="preserve">time and </w:t>
            </w:r>
            <w:r w:rsidR="00960C42">
              <w:rPr>
                <w:rFonts w:cstheme="majorHAnsi"/>
              </w:rPr>
              <w:t>investment into this candidate</w:t>
            </w:r>
          </w:p>
        </w:tc>
        <w:tc>
          <w:tcPr>
            <w:tcW w:w="3286" w:type="dxa"/>
            <w:shd w:val="clear" w:color="auto" w:fill="D9D9D9" w:themeFill="background1" w:themeFillShade="D9"/>
          </w:tcPr>
          <w:p w14:paraId="0FB45B04" w14:textId="43F13610" w:rsidR="00960C42" w:rsidRDefault="00960C42" w:rsidP="00FA047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If candidates </w:t>
            </w:r>
            <w:r w:rsidR="004D64EF">
              <w:rPr>
                <w:rFonts w:cstheme="majorHAnsi"/>
              </w:rPr>
              <w:t xml:space="preserve">must </w:t>
            </w:r>
            <w:r w:rsidR="008B7B4D">
              <w:rPr>
                <w:rFonts w:cstheme="majorHAnsi"/>
              </w:rPr>
              <w:t xml:space="preserve">work to </w:t>
            </w:r>
            <w:r w:rsidR="004D64EF">
              <w:rPr>
                <w:rFonts w:cstheme="majorHAnsi"/>
              </w:rPr>
              <w:t>raise their income</w:t>
            </w:r>
            <w:r>
              <w:rPr>
                <w:rFonts w:cstheme="majorHAnsi"/>
              </w:rPr>
              <w:t xml:space="preserve">, </w:t>
            </w:r>
            <w:r w:rsidR="008B7B4D">
              <w:rPr>
                <w:rFonts w:cstheme="majorHAnsi"/>
              </w:rPr>
              <w:t xml:space="preserve">the college should encourage these individuals </w:t>
            </w:r>
            <w:r>
              <w:rPr>
                <w:rFonts w:cstheme="majorHAnsi"/>
              </w:rPr>
              <w:t>to defer, to suspend their candidature, or to study part-time</w:t>
            </w:r>
          </w:p>
          <w:p w14:paraId="5C6CAC24" w14:textId="49E6F84E" w:rsidR="00C8087F" w:rsidRPr="00960C42" w:rsidRDefault="00941898" w:rsidP="00960C42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cstheme="majorHAnsi"/>
              </w:rPr>
            </w:pPr>
            <w:r>
              <w:rPr>
                <w:rFonts w:cstheme="majorHAnsi"/>
              </w:rPr>
              <w:t>Otherwise, s</w:t>
            </w:r>
            <w:r w:rsidR="00960C42">
              <w:rPr>
                <w:rFonts w:cstheme="majorHAnsi"/>
              </w:rPr>
              <w:t>upervisors should arrange opportunities to expose candidates to th</w:t>
            </w:r>
            <w:r w:rsidR="008B7B4D">
              <w:rPr>
                <w:rFonts w:cstheme="majorHAnsi"/>
              </w:rPr>
              <w:t xml:space="preserve">e </w:t>
            </w:r>
            <w:r w:rsidR="00960C42">
              <w:rPr>
                <w:rFonts w:cstheme="majorHAnsi"/>
              </w:rPr>
              <w:t>research culture</w:t>
            </w:r>
          </w:p>
        </w:tc>
      </w:tr>
      <w:tr w:rsidR="00FA047D" w:rsidRPr="00B74BEC" w14:paraId="448D7A19" w14:textId="77777777" w:rsidTr="004D64EF">
        <w:trPr>
          <w:trHeight w:val="1919"/>
        </w:trPr>
        <w:tc>
          <w:tcPr>
            <w:tcW w:w="1813" w:type="dxa"/>
            <w:vMerge w:val="restart"/>
            <w:shd w:val="clear" w:color="auto" w:fill="D9D9D9" w:themeFill="background1" w:themeFillShade="D9"/>
          </w:tcPr>
          <w:p w14:paraId="7809D410" w14:textId="0C7B4B4B" w:rsidR="00FA047D" w:rsidRPr="00EB10D8" w:rsidRDefault="00FA047D" w:rsidP="00FA047D">
            <w:pPr>
              <w:spacing w:line="276" w:lineRule="auto"/>
              <w:rPr>
                <w:rFonts w:cstheme="majorHAnsi"/>
              </w:rPr>
            </w:pPr>
            <w:r w:rsidRPr="00EB10D8">
              <w:rPr>
                <w:rFonts w:cstheme="majorHAnsi"/>
              </w:rPr>
              <w:t>The candidate must travel to a particular location in Australia to collect data. For example</w:t>
            </w:r>
          </w:p>
          <w:p w14:paraId="2C1959E8" w14:textId="77777777" w:rsidR="00FA047D" w:rsidRPr="00EB10D8" w:rsidRDefault="00FA047D" w:rsidP="00FA047D">
            <w:pPr>
              <w:spacing w:line="276" w:lineRule="auto"/>
              <w:rPr>
                <w:rFonts w:cstheme="majorHAnsi"/>
              </w:rPr>
            </w:pPr>
          </w:p>
          <w:p w14:paraId="72CAA127" w14:textId="77777777" w:rsidR="00EB10D8" w:rsidRDefault="00FA047D" w:rsidP="00EB10D8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cstheme="majorHAnsi"/>
              </w:rPr>
            </w:pPr>
            <w:r w:rsidRPr="00EB10D8">
              <w:rPr>
                <w:rFonts w:cstheme="majorHAnsi"/>
              </w:rPr>
              <w:t>the research may be conducted in a lab at CDU</w:t>
            </w:r>
          </w:p>
          <w:p w14:paraId="3F4BD728" w14:textId="3A73427E" w:rsidR="00FA047D" w:rsidRPr="00EB10D8" w:rsidRDefault="00FA047D" w:rsidP="00EB10D8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cstheme="majorHAnsi"/>
              </w:rPr>
            </w:pPr>
            <w:r w:rsidRPr="00EB10D8">
              <w:rPr>
                <w:rFonts w:cstheme="majorHAnsi"/>
              </w:rPr>
              <w:t>the researcher needs to conduct fieldwork or interviews in Australia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7CB5F36" w14:textId="77777777" w:rsidR="00FA047D" w:rsidRDefault="00FA047D" w:rsidP="00FA047D">
            <w:pPr>
              <w:spacing w:line="276" w:lineRule="auto"/>
              <w:rPr>
                <w:rFonts w:cstheme="majorHAnsi"/>
              </w:rPr>
            </w:pPr>
            <w:r>
              <w:rPr>
                <w:rFonts w:cstheme="majorHAnsi"/>
              </w:rPr>
              <w:t>The candidate was not granted a stipend or can access this stipend</w:t>
            </w:r>
          </w:p>
          <w:p w14:paraId="1AC5C350" w14:textId="0A011D3D" w:rsidR="00FA047D" w:rsidRPr="005377F7" w:rsidRDefault="00FA047D" w:rsidP="00FA047D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42F74FDC" w14:textId="63B1449A" w:rsidR="00FA047D" w:rsidRDefault="00960C42" w:rsidP="00FA047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The candidate may </w:t>
            </w:r>
            <w:r w:rsidR="008B7B4D">
              <w:rPr>
                <w:rFonts w:cstheme="majorHAnsi"/>
              </w:rPr>
              <w:t>stall or withdraw</w:t>
            </w:r>
          </w:p>
          <w:p w14:paraId="2FE296E6" w14:textId="1D578E35" w:rsidR="00960C42" w:rsidRPr="00960C42" w:rsidRDefault="00960C42" w:rsidP="00960C42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3286" w:type="dxa"/>
            <w:shd w:val="clear" w:color="auto" w:fill="D9D9D9" w:themeFill="background1" w:themeFillShade="D9"/>
          </w:tcPr>
          <w:p w14:paraId="7CF0FFAD" w14:textId="49B044D8" w:rsidR="00FA047D" w:rsidRPr="008B7B4D" w:rsidRDefault="008B7B4D" w:rsidP="008B7B4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Once </w:t>
            </w:r>
            <w:r w:rsidR="00941898">
              <w:rPr>
                <w:rFonts w:cstheme="majorHAnsi"/>
              </w:rPr>
              <w:t>candidates are ready to collect data but cannot travel</w:t>
            </w:r>
            <w:r>
              <w:rPr>
                <w:rFonts w:cstheme="majorHAnsi"/>
              </w:rPr>
              <w:t xml:space="preserve">—often a month or so after candidature has been confirmed—the college should instruct these individuals </w:t>
            </w:r>
            <w:r w:rsidR="00960C42" w:rsidRPr="008B7B4D">
              <w:rPr>
                <w:rFonts w:cstheme="majorHAnsi"/>
              </w:rPr>
              <w:t xml:space="preserve">to suspend their candidature </w:t>
            </w:r>
          </w:p>
        </w:tc>
      </w:tr>
      <w:tr w:rsidR="00FA047D" w:rsidRPr="00B74BEC" w14:paraId="40B0648E" w14:textId="77777777" w:rsidTr="004D64EF">
        <w:trPr>
          <w:trHeight w:val="1170"/>
        </w:trPr>
        <w:tc>
          <w:tcPr>
            <w:tcW w:w="1813" w:type="dxa"/>
            <w:vMerge/>
            <w:shd w:val="clear" w:color="auto" w:fill="D9D9D9" w:themeFill="background1" w:themeFillShade="D9"/>
          </w:tcPr>
          <w:p w14:paraId="18B0BF72" w14:textId="77777777" w:rsidR="00FA047D" w:rsidRPr="00C8087F" w:rsidRDefault="00FA047D" w:rsidP="00FA047D">
            <w:pPr>
              <w:spacing w:line="276" w:lineRule="auto"/>
              <w:rPr>
                <w:rFonts w:cstheme="majorHAnsi"/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990BB81" w14:textId="143EE7EF" w:rsidR="00FA047D" w:rsidRPr="005377F7" w:rsidRDefault="00FA047D" w:rsidP="00FA047D">
            <w:pPr>
              <w:spacing w:line="276" w:lineRule="auto"/>
              <w:rPr>
                <w:rFonts w:cstheme="majorHAnsi"/>
              </w:rPr>
            </w:pPr>
            <w:r w:rsidRPr="00FA047D">
              <w:rPr>
                <w:rFonts w:cstheme="majorHAnsi"/>
              </w:rPr>
              <w:t>The candidate was granted a stipend but cannot access this fund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4C17051" w14:textId="27015A1B" w:rsidR="00941898" w:rsidRPr="00941898" w:rsidRDefault="00941898" w:rsidP="0094189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cstheme="majorHAnsi"/>
              </w:rPr>
            </w:pPr>
            <w:r>
              <w:rPr>
                <w:rFonts w:cstheme="majorHAnsi"/>
              </w:rPr>
              <w:t>The candidate may also experience financial challenges</w:t>
            </w:r>
          </w:p>
          <w:p w14:paraId="1075FCBD" w14:textId="3839FC87" w:rsidR="00941898" w:rsidRPr="00941898" w:rsidRDefault="00941898" w:rsidP="0094189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cstheme="majorHAnsi"/>
              </w:rPr>
            </w:pPr>
            <w:r>
              <w:rPr>
                <w:rFonts w:cstheme="majorHAnsi"/>
              </w:rPr>
              <w:t>The candidate may not progress and may withdraw</w:t>
            </w:r>
          </w:p>
        </w:tc>
        <w:tc>
          <w:tcPr>
            <w:tcW w:w="3286" w:type="dxa"/>
            <w:shd w:val="clear" w:color="auto" w:fill="D9D9D9" w:themeFill="background1" w:themeFillShade="D9"/>
          </w:tcPr>
          <w:p w14:paraId="4614D6BD" w14:textId="77777777" w:rsidR="004D64EF" w:rsidRDefault="004D64EF" w:rsidP="004D64EF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cstheme="majorHAnsi"/>
              </w:rPr>
            </w:pPr>
            <w:r>
              <w:rPr>
                <w:rFonts w:cstheme="majorHAnsi"/>
              </w:rPr>
              <w:t>If candidates must work to raise their income, the college should encourage these individuals to defer, to suspend their candidature, or to study part-time</w:t>
            </w:r>
          </w:p>
          <w:p w14:paraId="4FAD26A5" w14:textId="5C639455" w:rsidR="00941898" w:rsidRPr="00FA047D" w:rsidRDefault="004D64EF" w:rsidP="00FA047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Once candidates are ready to collect data but cannot travel, the college should instruct these individuals </w:t>
            </w:r>
            <w:r w:rsidRPr="008B7B4D">
              <w:rPr>
                <w:rFonts w:cstheme="majorHAnsi"/>
              </w:rPr>
              <w:t>to suspend their candidature</w:t>
            </w:r>
          </w:p>
        </w:tc>
      </w:tr>
    </w:tbl>
    <w:p w14:paraId="68410D4D" w14:textId="77777777" w:rsidR="00413B8B" w:rsidRDefault="00413B8B" w:rsidP="00E463B1">
      <w:pPr>
        <w:spacing w:line="276" w:lineRule="auto"/>
        <w:rPr>
          <w:rFonts w:cstheme="majorHAnsi"/>
          <w:b/>
          <w:bCs/>
          <w:szCs w:val="22"/>
        </w:rPr>
      </w:pPr>
    </w:p>
    <w:p w14:paraId="2AC1770F" w14:textId="10800A32" w:rsidR="00413B8B" w:rsidRPr="004D64EF" w:rsidRDefault="004D64EF" w:rsidP="00E463B1">
      <w:p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 xml:space="preserve">Although the suspension of candidature is usually limited to a year, this limit should be relaxed if travel restrictions had impeded progress.  </w:t>
      </w:r>
    </w:p>
    <w:p w14:paraId="52D90C3C" w14:textId="77777777" w:rsidR="008B7B4D" w:rsidRDefault="008B7B4D" w:rsidP="00E463B1">
      <w:pPr>
        <w:spacing w:line="276" w:lineRule="auto"/>
        <w:rPr>
          <w:rFonts w:cstheme="majorHAnsi"/>
          <w:b/>
          <w:bCs/>
          <w:szCs w:val="22"/>
        </w:rPr>
      </w:pPr>
    </w:p>
    <w:p w14:paraId="02D2F238" w14:textId="5C437288" w:rsidR="00E463B1" w:rsidRDefault="00957338" w:rsidP="00E463B1">
      <w:pPr>
        <w:spacing w:line="276" w:lineRule="auto"/>
        <w:rPr>
          <w:rFonts w:cstheme="majorHAnsi"/>
          <w:szCs w:val="22"/>
        </w:rPr>
      </w:pPr>
      <w:r>
        <w:rPr>
          <w:rFonts w:cstheme="majorHAnsi"/>
          <w:b/>
          <w:bCs/>
          <w:szCs w:val="22"/>
        </w:rPr>
        <w:t>Changes to projects</w:t>
      </w:r>
    </w:p>
    <w:p w14:paraId="133E2802" w14:textId="529181E8" w:rsidR="00957338" w:rsidRDefault="00957338" w:rsidP="00E463B1">
      <w:pPr>
        <w:spacing w:line="276" w:lineRule="auto"/>
        <w:rPr>
          <w:rFonts w:cstheme="majorHAnsi"/>
          <w:szCs w:val="22"/>
        </w:rPr>
      </w:pPr>
    </w:p>
    <w:p w14:paraId="223233D4" w14:textId="2856021A" w:rsidR="003D0A5F" w:rsidRDefault="003D0A5F" w:rsidP="00E463B1">
      <w:p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 xml:space="preserve">Occasionally, </w:t>
      </w:r>
      <w:r>
        <w:rPr>
          <w:rFonts w:cstheme="majorHAnsi"/>
        </w:rPr>
        <w:t xml:space="preserve">candidates who had planned to </w:t>
      </w:r>
      <w:r>
        <w:rPr>
          <w:rFonts w:cstheme="majorHAnsi"/>
          <w:szCs w:val="22"/>
        </w:rPr>
        <w:t xml:space="preserve">collect data </w:t>
      </w:r>
      <w:r w:rsidR="004D64EF">
        <w:rPr>
          <w:rFonts w:cstheme="majorHAnsi"/>
          <w:szCs w:val="22"/>
        </w:rPr>
        <w:t xml:space="preserve">in Australia </w:t>
      </w:r>
      <w:r>
        <w:rPr>
          <w:rFonts w:cstheme="majorHAnsi"/>
          <w:szCs w:val="22"/>
        </w:rPr>
        <w:t>may consider other alternatives.  In particular, they might decide to adjust their study, obviating the need to collect data in Australia.  For example</w:t>
      </w:r>
    </w:p>
    <w:p w14:paraId="4C81110C" w14:textId="0E77C51E" w:rsidR="003D0A5F" w:rsidRDefault="003D0A5F" w:rsidP="00E463B1">
      <w:pPr>
        <w:spacing w:line="276" w:lineRule="auto"/>
        <w:rPr>
          <w:rFonts w:cstheme="majorHAnsi"/>
          <w:szCs w:val="22"/>
        </w:rPr>
      </w:pPr>
    </w:p>
    <w:p w14:paraId="23D1CC84" w14:textId="375F1F73" w:rsidR="003D0A5F" w:rsidRDefault="003D0A5F" w:rsidP="003D0A5F">
      <w:pPr>
        <w:pStyle w:val="ListParagraph"/>
        <w:numPr>
          <w:ilvl w:val="0"/>
          <w:numId w:val="33"/>
        </w:num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>rather than interview respondents in person, candidates might choose to conduct interviews online</w:t>
      </w:r>
    </w:p>
    <w:p w14:paraId="6C4E421D" w14:textId="5E8818E7" w:rsidR="003D0A5F" w:rsidRDefault="003D0A5F" w:rsidP="003D0A5F">
      <w:pPr>
        <w:pStyle w:val="ListParagraph"/>
        <w:numPr>
          <w:ilvl w:val="0"/>
          <w:numId w:val="33"/>
        </w:num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>rather than test participants in person, candidates might administer online surveys instead</w:t>
      </w:r>
    </w:p>
    <w:p w14:paraId="2630494F" w14:textId="3D77DE64" w:rsidR="003D0A5F" w:rsidRDefault="003D0A5F" w:rsidP="003D0A5F">
      <w:pPr>
        <w:spacing w:line="276" w:lineRule="auto"/>
        <w:rPr>
          <w:rFonts w:cstheme="majorHAnsi"/>
          <w:szCs w:val="22"/>
        </w:rPr>
      </w:pPr>
    </w:p>
    <w:p w14:paraId="3A9B701B" w14:textId="77777777" w:rsidR="00617C27" w:rsidRDefault="00617C27" w:rsidP="003D0A5F">
      <w:pPr>
        <w:spacing w:line="276" w:lineRule="auto"/>
        <w:rPr>
          <w:rFonts w:cstheme="majorHAnsi"/>
          <w:szCs w:val="22"/>
        </w:rPr>
      </w:pPr>
    </w:p>
    <w:p w14:paraId="49824D19" w14:textId="07DB2746" w:rsidR="003D0A5F" w:rsidRDefault="007F3A88" w:rsidP="003D0A5F">
      <w:p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>This alternative does generate some risks.  For example</w:t>
      </w:r>
    </w:p>
    <w:p w14:paraId="7D7E6A1A" w14:textId="75B95C71" w:rsidR="007F3A88" w:rsidRDefault="007F3A88" w:rsidP="003D0A5F">
      <w:pPr>
        <w:spacing w:line="276" w:lineRule="auto"/>
        <w:rPr>
          <w:rFonts w:cstheme="majorHAnsi"/>
          <w:szCs w:val="22"/>
        </w:rPr>
      </w:pPr>
    </w:p>
    <w:p w14:paraId="631C6059" w14:textId="76AEB5FF" w:rsidR="007F3A88" w:rsidRDefault="007F3A88" w:rsidP="007F3A88">
      <w:pPr>
        <w:pStyle w:val="ListParagraph"/>
        <w:numPr>
          <w:ilvl w:val="0"/>
          <w:numId w:val="34"/>
        </w:num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>these changes might compromise the quality of this research</w:t>
      </w:r>
    </w:p>
    <w:p w14:paraId="2788EA47" w14:textId="406562EB" w:rsidR="00617C27" w:rsidRPr="00617C27" w:rsidRDefault="00617C27" w:rsidP="00617C27">
      <w:pPr>
        <w:pStyle w:val="ListParagraph"/>
        <w:numPr>
          <w:ilvl w:val="0"/>
          <w:numId w:val="34"/>
        </w:num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 xml:space="preserve">these changes might deviate from existing agreements, such as the ethics application, field of education code, autonomous sanctions, or defense controls.  </w:t>
      </w:r>
    </w:p>
    <w:p w14:paraId="66D2BD96" w14:textId="3A24F4F9" w:rsidR="007F3A88" w:rsidRDefault="007F3A88" w:rsidP="007F3A88">
      <w:pPr>
        <w:pStyle w:val="ListParagraph"/>
        <w:numPr>
          <w:ilvl w:val="0"/>
          <w:numId w:val="34"/>
        </w:num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>these changes might consume time</w:t>
      </w:r>
      <w:r w:rsidR="00490F7A">
        <w:rPr>
          <w:rFonts w:cstheme="majorHAnsi"/>
          <w:szCs w:val="22"/>
        </w:rPr>
        <w:t xml:space="preserve"> </w:t>
      </w:r>
    </w:p>
    <w:p w14:paraId="5DEC819B" w14:textId="7828841C" w:rsidR="00822FAC" w:rsidRDefault="00822FAC" w:rsidP="00822FAC">
      <w:pPr>
        <w:spacing w:line="276" w:lineRule="auto"/>
        <w:rPr>
          <w:rFonts w:cstheme="majorHAnsi"/>
          <w:szCs w:val="22"/>
        </w:rPr>
      </w:pPr>
    </w:p>
    <w:p w14:paraId="4561313D" w14:textId="77777777" w:rsidR="00617C27" w:rsidRDefault="00617C27" w:rsidP="00822FAC">
      <w:pPr>
        <w:spacing w:line="276" w:lineRule="auto"/>
        <w:rPr>
          <w:rFonts w:cstheme="majorHAnsi"/>
          <w:szCs w:val="22"/>
        </w:rPr>
      </w:pPr>
    </w:p>
    <w:p w14:paraId="3729212A" w14:textId="5C6B2D43" w:rsidR="00822FAC" w:rsidRDefault="00822FAC" w:rsidP="00822FAC">
      <w:p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>Several measures could accommodate these risks.  In particular</w:t>
      </w:r>
    </w:p>
    <w:p w14:paraId="16B44067" w14:textId="1C1779D3" w:rsidR="00822FAC" w:rsidRDefault="00822FAC" w:rsidP="00822FAC">
      <w:pPr>
        <w:spacing w:line="276" w:lineRule="auto"/>
        <w:rPr>
          <w:rFonts w:cstheme="majorHAnsi"/>
          <w:szCs w:val="22"/>
        </w:rPr>
      </w:pPr>
    </w:p>
    <w:p w14:paraId="4BA9554A" w14:textId="3BE27FE7" w:rsidR="00822FAC" w:rsidRDefault="00617C27" w:rsidP="00822FAC">
      <w:pPr>
        <w:pStyle w:val="ListParagraph"/>
        <w:numPr>
          <w:ilvl w:val="0"/>
          <w:numId w:val="35"/>
        </w:num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 xml:space="preserve">if candidates decide to change their project, they should apply the principles in </w:t>
      </w:r>
      <w:hyperlink r:id="rId8" w:history="1">
        <w:r w:rsidRPr="00617C27">
          <w:rPr>
            <w:rStyle w:val="Hyperlink"/>
            <w:rFonts w:cstheme="majorHAnsi"/>
            <w:sz w:val="22"/>
            <w:szCs w:val="22"/>
          </w:rPr>
          <w:t>this document</w:t>
        </w:r>
      </w:hyperlink>
      <w:r>
        <w:rPr>
          <w:rFonts w:cstheme="majorHAnsi"/>
          <w:szCs w:val="22"/>
        </w:rPr>
        <w:t xml:space="preserve"> – to maintain the quality of this project and the integrity of agreements</w:t>
      </w:r>
    </w:p>
    <w:p w14:paraId="65C12366" w14:textId="1FCA0137" w:rsidR="00617C27" w:rsidRPr="00822FAC" w:rsidRDefault="00617C27" w:rsidP="00822FAC">
      <w:pPr>
        <w:pStyle w:val="ListParagraph"/>
        <w:numPr>
          <w:ilvl w:val="0"/>
          <w:numId w:val="35"/>
        </w:num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 xml:space="preserve">the college should monitor the progress of these candidates every three months, and help the candidates address obstacles, to offset the time this change might </w:t>
      </w:r>
      <w:r w:rsidR="00B64907">
        <w:rPr>
          <w:rFonts w:cstheme="majorHAnsi"/>
          <w:szCs w:val="22"/>
        </w:rPr>
        <w:t xml:space="preserve">consume. </w:t>
      </w:r>
    </w:p>
    <w:p w14:paraId="69E255BE" w14:textId="7A526693" w:rsidR="00822FAC" w:rsidRDefault="00822FAC" w:rsidP="00822FAC">
      <w:pPr>
        <w:spacing w:line="276" w:lineRule="auto"/>
        <w:rPr>
          <w:rFonts w:cstheme="majorHAnsi"/>
          <w:szCs w:val="22"/>
        </w:rPr>
      </w:pPr>
    </w:p>
    <w:p w14:paraId="4635FC81" w14:textId="77777777" w:rsidR="00762624" w:rsidRDefault="00762624" w:rsidP="00822FAC">
      <w:pPr>
        <w:spacing w:line="276" w:lineRule="auto"/>
        <w:rPr>
          <w:rFonts w:cstheme="majorHAnsi"/>
          <w:szCs w:val="22"/>
        </w:rPr>
      </w:pPr>
    </w:p>
    <w:p w14:paraId="47AEF373" w14:textId="0400B548" w:rsidR="00822FAC" w:rsidRDefault="0099077F" w:rsidP="00822FAC">
      <w:pPr>
        <w:spacing w:line="276" w:lineRule="auto"/>
        <w:rPr>
          <w:rFonts w:cstheme="majorHAnsi"/>
          <w:szCs w:val="22"/>
        </w:rPr>
      </w:pPr>
      <w:r>
        <w:rPr>
          <w:rFonts w:cstheme="majorHAnsi"/>
          <w:b/>
          <w:bCs/>
          <w:szCs w:val="22"/>
        </w:rPr>
        <w:t>Other provisions</w:t>
      </w:r>
    </w:p>
    <w:p w14:paraId="2A374AEC" w14:textId="26420951" w:rsidR="0099077F" w:rsidRDefault="0099077F" w:rsidP="00822FAC">
      <w:pPr>
        <w:spacing w:line="276" w:lineRule="auto"/>
        <w:rPr>
          <w:rFonts w:cstheme="majorHAnsi"/>
          <w:szCs w:val="22"/>
        </w:rPr>
      </w:pPr>
    </w:p>
    <w:p w14:paraId="4E6C2A23" w14:textId="76031797" w:rsidR="0099077F" w:rsidRDefault="00AE1BAF" w:rsidP="00822FAC">
      <w:p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>CDU will consider a range of other provisions to accommodate candidates who cannot travel to Australia.  For example</w:t>
      </w:r>
    </w:p>
    <w:p w14:paraId="6FACFCF4" w14:textId="5A711BA5" w:rsidR="00AE1BAF" w:rsidRDefault="00AE1BAF" w:rsidP="00822FAC">
      <w:pPr>
        <w:spacing w:line="276" w:lineRule="auto"/>
        <w:rPr>
          <w:rFonts w:cstheme="majorHAnsi"/>
          <w:szCs w:val="22"/>
        </w:rPr>
      </w:pPr>
    </w:p>
    <w:p w14:paraId="4A4579F6" w14:textId="66D41578" w:rsidR="00F623EC" w:rsidRPr="00F623EC" w:rsidRDefault="00F623EC" w:rsidP="00F623EC">
      <w:pPr>
        <w:pStyle w:val="ListParagraph"/>
        <w:numPr>
          <w:ilvl w:val="0"/>
          <w:numId w:val="36"/>
        </w:num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 xml:space="preserve">CDU should attempt to help candidates </w:t>
      </w:r>
      <w:r>
        <w:rPr>
          <w:rFonts w:cstheme="majorHAnsi"/>
          <w:szCs w:val="22"/>
        </w:rPr>
        <w:t>collaborate</w:t>
      </w:r>
      <w:r>
        <w:rPr>
          <w:rFonts w:cstheme="majorHAnsi"/>
          <w:szCs w:val="22"/>
        </w:rPr>
        <w:t xml:space="preserve"> with universities and supervisors</w:t>
      </w:r>
      <w:r>
        <w:rPr>
          <w:rFonts w:cstheme="majorHAnsi"/>
          <w:szCs w:val="22"/>
        </w:rPr>
        <w:t xml:space="preserve"> in their vicinity </w:t>
      </w:r>
    </w:p>
    <w:p w14:paraId="403E5E49" w14:textId="2D344B9C" w:rsidR="00AE1BAF" w:rsidRDefault="00AE1BAF" w:rsidP="00AE1BAF">
      <w:pPr>
        <w:pStyle w:val="ListParagraph"/>
        <w:numPr>
          <w:ilvl w:val="0"/>
          <w:numId w:val="36"/>
        </w:num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 xml:space="preserve">if the research is essential to the national interest of Australia, CDU might encourage the candidate to read </w:t>
      </w:r>
      <w:hyperlink r:id="rId9" w:history="1">
        <w:r w:rsidRPr="00AE1BAF">
          <w:rPr>
            <w:rStyle w:val="Hyperlink"/>
            <w:rFonts w:cstheme="majorHAnsi"/>
            <w:sz w:val="22"/>
            <w:szCs w:val="22"/>
          </w:rPr>
          <w:t>this document</w:t>
        </w:r>
      </w:hyperlink>
      <w:r>
        <w:rPr>
          <w:rFonts w:cstheme="majorHAnsi"/>
          <w:szCs w:val="22"/>
        </w:rPr>
        <w:t xml:space="preserve">, to contact the Australian Border Force Commissioner, and to seek an exception </w:t>
      </w:r>
    </w:p>
    <w:p w14:paraId="01CD0BCE" w14:textId="3B026AB7" w:rsidR="00DB5BE7" w:rsidRDefault="00DB5BE7" w:rsidP="00AE1BAF">
      <w:pPr>
        <w:pStyle w:val="ListParagraph"/>
        <w:numPr>
          <w:ilvl w:val="0"/>
          <w:numId w:val="36"/>
        </w:numPr>
        <w:spacing w:line="276" w:lineRule="auto"/>
        <w:rPr>
          <w:rFonts w:cstheme="majorHAnsi"/>
          <w:szCs w:val="22"/>
        </w:rPr>
      </w:pPr>
      <w:r>
        <w:rPr>
          <w:rFonts w:cstheme="majorHAnsi"/>
          <w:szCs w:val="22"/>
        </w:rPr>
        <w:t xml:space="preserve">CDU will need to </w:t>
      </w:r>
      <w:r w:rsidR="00B77941">
        <w:rPr>
          <w:rFonts w:cstheme="majorHAnsi"/>
          <w:szCs w:val="22"/>
        </w:rPr>
        <w:t>monitor other</w:t>
      </w:r>
      <w:r>
        <w:rPr>
          <w:rFonts w:cstheme="majorHAnsi"/>
          <w:szCs w:val="22"/>
        </w:rPr>
        <w:t xml:space="preserve"> risks, such as reputational risk and insurance</w:t>
      </w:r>
    </w:p>
    <w:p w14:paraId="01C8148E" w14:textId="104F874F" w:rsidR="00AE1BAF" w:rsidRDefault="00AE1BAF" w:rsidP="00AE1BAF">
      <w:pPr>
        <w:spacing w:line="276" w:lineRule="auto"/>
        <w:rPr>
          <w:rFonts w:cstheme="majorHAnsi"/>
          <w:szCs w:val="22"/>
        </w:rPr>
      </w:pPr>
    </w:p>
    <w:p w14:paraId="33318F6D" w14:textId="762FD3C0" w:rsidR="00957338" w:rsidRPr="00957338" w:rsidRDefault="00957338" w:rsidP="00E463B1">
      <w:pPr>
        <w:spacing w:line="276" w:lineRule="auto"/>
        <w:rPr>
          <w:rFonts w:cstheme="majorHAnsi"/>
          <w:szCs w:val="22"/>
        </w:rPr>
      </w:pPr>
    </w:p>
    <w:sectPr w:rsidR="00957338" w:rsidRPr="00957338" w:rsidSect="005564D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CB7AF" w14:textId="77777777" w:rsidR="00B318C1" w:rsidRDefault="00B318C1" w:rsidP="00452E05">
      <w:r>
        <w:separator/>
      </w:r>
    </w:p>
  </w:endnote>
  <w:endnote w:type="continuationSeparator" w:id="0">
    <w:p w14:paraId="592893CE" w14:textId="77777777" w:rsidR="00B318C1" w:rsidRDefault="00B318C1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5DDD5" w14:textId="7365AD9A" w:rsidR="001B5BCC" w:rsidRPr="00C62BC1" w:rsidRDefault="00C62BC1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34568" w14:textId="52954064" w:rsidR="00EC2C66" w:rsidRPr="00EC2C66" w:rsidRDefault="00EC2C66" w:rsidP="00EC2C66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0936B" w14:textId="77777777" w:rsidR="00B318C1" w:rsidRDefault="00B318C1" w:rsidP="00452E05">
      <w:r>
        <w:separator/>
      </w:r>
    </w:p>
  </w:footnote>
  <w:footnote w:type="continuationSeparator" w:id="0">
    <w:p w14:paraId="766C5E65" w14:textId="77777777" w:rsidR="00B318C1" w:rsidRDefault="00B318C1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A9C6B" w14:textId="70266D9D" w:rsidR="00C62BC1" w:rsidRDefault="00B318C1">
    <w:pPr>
      <w:pStyle w:val="Header"/>
    </w:pPr>
    <w:r>
      <w:rPr>
        <w:noProof/>
      </w:rPr>
      <w:pict w14:anchorId="0D482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2049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799A1" w14:textId="4E1E8827" w:rsidR="00DF18F7" w:rsidRDefault="00DF18F7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  <w:p w14:paraId="098BF19D" w14:textId="7309D4C8" w:rsidR="00397830" w:rsidRPr="00397830" w:rsidRDefault="00397830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9C470" w14:textId="4C7C3CD4" w:rsidR="00C62BC1" w:rsidRDefault="009F4AD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53678DE" wp14:editId="337E128C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4A9">
      <w:rPr>
        <w:noProof/>
      </w:rPr>
      <w:drawing>
        <wp:anchor distT="0" distB="0" distL="114300" distR="114300" simplePos="0" relativeHeight="251656704" behindDoc="1" locked="1" layoutInCell="1" allowOverlap="1" wp14:anchorId="20B6BB33" wp14:editId="5DFC80A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750BE"/>
    <w:multiLevelType w:val="hybridMultilevel"/>
    <w:tmpl w:val="892AA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941ED"/>
    <w:multiLevelType w:val="hybridMultilevel"/>
    <w:tmpl w:val="B3C28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27023"/>
    <w:multiLevelType w:val="hybridMultilevel"/>
    <w:tmpl w:val="9A124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5A573D"/>
    <w:multiLevelType w:val="hybridMultilevel"/>
    <w:tmpl w:val="EF729F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E23F27"/>
    <w:multiLevelType w:val="hybridMultilevel"/>
    <w:tmpl w:val="EFFE8A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DA4CA4"/>
    <w:multiLevelType w:val="hybridMultilevel"/>
    <w:tmpl w:val="3FB2E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AE13C9"/>
    <w:multiLevelType w:val="hybridMultilevel"/>
    <w:tmpl w:val="89200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F25C52"/>
    <w:multiLevelType w:val="hybridMultilevel"/>
    <w:tmpl w:val="F42A8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E0603"/>
    <w:multiLevelType w:val="hybridMultilevel"/>
    <w:tmpl w:val="82463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886769"/>
    <w:multiLevelType w:val="hybridMultilevel"/>
    <w:tmpl w:val="D93A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C05964"/>
    <w:multiLevelType w:val="hybridMultilevel"/>
    <w:tmpl w:val="311A0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740657"/>
    <w:multiLevelType w:val="hybridMultilevel"/>
    <w:tmpl w:val="E53CB5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267C0A"/>
    <w:multiLevelType w:val="hybridMultilevel"/>
    <w:tmpl w:val="BDEA5B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31874"/>
    <w:multiLevelType w:val="hybridMultilevel"/>
    <w:tmpl w:val="B30A38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3957DB"/>
    <w:multiLevelType w:val="hybridMultilevel"/>
    <w:tmpl w:val="572EE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9F04F3"/>
    <w:multiLevelType w:val="hybridMultilevel"/>
    <w:tmpl w:val="08CE1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9A6E7F"/>
    <w:multiLevelType w:val="hybridMultilevel"/>
    <w:tmpl w:val="754659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CE284A"/>
    <w:multiLevelType w:val="hybridMultilevel"/>
    <w:tmpl w:val="C69CD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CD5D5F"/>
    <w:multiLevelType w:val="hybridMultilevel"/>
    <w:tmpl w:val="B2666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63C3D"/>
    <w:multiLevelType w:val="hybridMultilevel"/>
    <w:tmpl w:val="72DCE1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D4085C"/>
    <w:multiLevelType w:val="hybridMultilevel"/>
    <w:tmpl w:val="D0B8B6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0C66C9"/>
    <w:multiLevelType w:val="hybridMultilevel"/>
    <w:tmpl w:val="BA9ED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A83BAC"/>
    <w:multiLevelType w:val="hybridMultilevel"/>
    <w:tmpl w:val="FC46B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733ECB"/>
    <w:multiLevelType w:val="hybridMultilevel"/>
    <w:tmpl w:val="46F8F8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8B555F"/>
    <w:multiLevelType w:val="hybridMultilevel"/>
    <w:tmpl w:val="C9869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F65D5B"/>
    <w:multiLevelType w:val="hybridMultilevel"/>
    <w:tmpl w:val="71264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F221E3"/>
    <w:multiLevelType w:val="hybridMultilevel"/>
    <w:tmpl w:val="5A746D74"/>
    <w:lvl w:ilvl="0" w:tplc="FC003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3E7E30"/>
    <w:multiLevelType w:val="hybridMultilevel"/>
    <w:tmpl w:val="90824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A2A72"/>
    <w:multiLevelType w:val="hybridMultilevel"/>
    <w:tmpl w:val="36FA9A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707AB2"/>
    <w:multiLevelType w:val="hybridMultilevel"/>
    <w:tmpl w:val="C8FCE368"/>
    <w:lvl w:ilvl="0" w:tplc="101078C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86F48"/>
    <w:multiLevelType w:val="hybridMultilevel"/>
    <w:tmpl w:val="E8BA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DD2ACF"/>
    <w:multiLevelType w:val="hybridMultilevel"/>
    <w:tmpl w:val="017E9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E85ACB"/>
    <w:multiLevelType w:val="hybridMultilevel"/>
    <w:tmpl w:val="907C8B20"/>
    <w:lvl w:ilvl="0" w:tplc="CD0CBA2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73BAB"/>
    <w:multiLevelType w:val="hybridMultilevel"/>
    <w:tmpl w:val="A6A227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7C0C63"/>
    <w:multiLevelType w:val="hybridMultilevel"/>
    <w:tmpl w:val="C39602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5"/>
  </w:num>
  <w:num w:numId="4">
    <w:abstractNumId w:val="34"/>
  </w:num>
  <w:num w:numId="5">
    <w:abstractNumId w:val="31"/>
  </w:num>
  <w:num w:numId="6">
    <w:abstractNumId w:val="29"/>
  </w:num>
  <w:num w:numId="7">
    <w:abstractNumId w:val="4"/>
  </w:num>
  <w:num w:numId="8">
    <w:abstractNumId w:val="11"/>
  </w:num>
  <w:num w:numId="9">
    <w:abstractNumId w:val="10"/>
  </w:num>
  <w:num w:numId="10">
    <w:abstractNumId w:val="17"/>
  </w:num>
  <w:num w:numId="11">
    <w:abstractNumId w:val="32"/>
  </w:num>
  <w:num w:numId="12">
    <w:abstractNumId w:val="9"/>
  </w:num>
  <w:num w:numId="13">
    <w:abstractNumId w:val="24"/>
  </w:num>
  <w:num w:numId="14">
    <w:abstractNumId w:val="20"/>
  </w:num>
  <w:num w:numId="15">
    <w:abstractNumId w:val="7"/>
  </w:num>
  <w:num w:numId="16">
    <w:abstractNumId w:val="21"/>
  </w:num>
  <w:num w:numId="17">
    <w:abstractNumId w:val="1"/>
  </w:num>
  <w:num w:numId="18">
    <w:abstractNumId w:val="30"/>
  </w:num>
  <w:num w:numId="19">
    <w:abstractNumId w:val="33"/>
  </w:num>
  <w:num w:numId="20">
    <w:abstractNumId w:val="22"/>
  </w:num>
  <w:num w:numId="21">
    <w:abstractNumId w:val="13"/>
  </w:num>
  <w:num w:numId="22">
    <w:abstractNumId w:val="26"/>
  </w:num>
  <w:num w:numId="23">
    <w:abstractNumId w:val="19"/>
  </w:num>
  <w:num w:numId="24">
    <w:abstractNumId w:val="28"/>
  </w:num>
  <w:num w:numId="25">
    <w:abstractNumId w:val="27"/>
  </w:num>
  <w:num w:numId="26">
    <w:abstractNumId w:val="6"/>
  </w:num>
  <w:num w:numId="27">
    <w:abstractNumId w:val="8"/>
  </w:num>
  <w:num w:numId="28">
    <w:abstractNumId w:val="2"/>
  </w:num>
  <w:num w:numId="29">
    <w:abstractNumId w:val="18"/>
  </w:num>
  <w:num w:numId="30">
    <w:abstractNumId w:val="35"/>
  </w:num>
  <w:num w:numId="31">
    <w:abstractNumId w:val="3"/>
  </w:num>
  <w:num w:numId="32">
    <w:abstractNumId w:val="12"/>
  </w:num>
  <w:num w:numId="33">
    <w:abstractNumId w:val="16"/>
  </w:num>
  <w:num w:numId="34">
    <w:abstractNumId w:val="23"/>
  </w:num>
  <w:num w:numId="35">
    <w:abstractNumId w:val="15"/>
  </w:num>
  <w:num w:numId="3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452E05"/>
    <w:rsid w:val="0000037A"/>
    <w:rsid w:val="00000A01"/>
    <w:rsid w:val="00007598"/>
    <w:rsid w:val="000332D9"/>
    <w:rsid w:val="00047135"/>
    <w:rsid w:val="00065F0F"/>
    <w:rsid w:val="000D6105"/>
    <w:rsid w:val="00127477"/>
    <w:rsid w:val="001562E1"/>
    <w:rsid w:val="001913B0"/>
    <w:rsid w:val="001A66E3"/>
    <w:rsid w:val="001B5BCC"/>
    <w:rsid w:val="001C17A9"/>
    <w:rsid w:val="00263F4A"/>
    <w:rsid w:val="0029790B"/>
    <w:rsid w:val="0033676E"/>
    <w:rsid w:val="00347E6A"/>
    <w:rsid w:val="0037485F"/>
    <w:rsid w:val="00384C2A"/>
    <w:rsid w:val="00397830"/>
    <w:rsid w:val="003D0A5F"/>
    <w:rsid w:val="003E30BF"/>
    <w:rsid w:val="004135F6"/>
    <w:rsid w:val="00413B8B"/>
    <w:rsid w:val="0042036D"/>
    <w:rsid w:val="00444794"/>
    <w:rsid w:val="00452E05"/>
    <w:rsid w:val="00476905"/>
    <w:rsid w:val="00481E3F"/>
    <w:rsid w:val="00490F7A"/>
    <w:rsid w:val="00494903"/>
    <w:rsid w:val="0049652E"/>
    <w:rsid w:val="004A744D"/>
    <w:rsid w:val="004D64EF"/>
    <w:rsid w:val="004F37BB"/>
    <w:rsid w:val="005021EC"/>
    <w:rsid w:val="005364A9"/>
    <w:rsid w:val="005377F7"/>
    <w:rsid w:val="00553373"/>
    <w:rsid w:val="005564DE"/>
    <w:rsid w:val="00557C86"/>
    <w:rsid w:val="005811F4"/>
    <w:rsid w:val="00596877"/>
    <w:rsid w:val="005B1C72"/>
    <w:rsid w:val="005B6F71"/>
    <w:rsid w:val="005C0733"/>
    <w:rsid w:val="005E6863"/>
    <w:rsid w:val="00605E2E"/>
    <w:rsid w:val="00617C27"/>
    <w:rsid w:val="00630192"/>
    <w:rsid w:val="006420B1"/>
    <w:rsid w:val="006575DD"/>
    <w:rsid w:val="00710665"/>
    <w:rsid w:val="00725256"/>
    <w:rsid w:val="007276CF"/>
    <w:rsid w:val="00752E7B"/>
    <w:rsid w:val="00762624"/>
    <w:rsid w:val="00764615"/>
    <w:rsid w:val="00797B82"/>
    <w:rsid w:val="007D0B7D"/>
    <w:rsid w:val="007E32A1"/>
    <w:rsid w:val="007E4752"/>
    <w:rsid w:val="007F3A88"/>
    <w:rsid w:val="007F7A62"/>
    <w:rsid w:val="00802D3E"/>
    <w:rsid w:val="00810CE0"/>
    <w:rsid w:val="0081211C"/>
    <w:rsid w:val="00822FAC"/>
    <w:rsid w:val="008326DE"/>
    <w:rsid w:val="00870603"/>
    <w:rsid w:val="008B7B4D"/>
    <w:rsid w:val="008C382A"/>
    <w:rsid w:val="00924A6A"/>
    <w:rsid w:val="00941898"/>
    <w:rsid w:val="00957338"/>
    <w:rsid w:val="00960C42"/>
    <w:rsid w:val="0099077F"/>
    <w:rsid w:val="009B6B5F"/>
    <w:rsid w:val="009D673D"/>
    <w:rsid w:val="009E49F2"/>
    <w:rsid w:val="009F0315"/>
    <w:rsid w:val="009F4AD0"/>
    <w:rsid w:val="00A3382D"/>
    <w:rsid w:val="00A72D40"/>
    <w:rsid w:val="00AE153D"/>
    <w:rsid w:val="00AE1BAF"/>
    <w:rsid w:val="00B12FB3"/>
    <w:rsid w:val="00B318C1"/>
    <w:rsid w:val="00B36F7E"/>
    <w:rsid w:val="00B64907"/>
    <w:rsid w:val="00B658DB"/>
    <w:rsid w:val="00B74BEC"/>
    <w:rsid w:val="00B77941"/>
    <w:rsid w:val="00B9245E"/>
    <w:rsid w:val="00BE0325"/>
    <w:rsid w:val="00BE60DA"/>
    <w:rsid w:val="00C36EE4"/>
    <w:rsid w:val="00C62BC1"/>
    <w:rsid w:val="00C8087F"/>
    <w:rsid w:val="00CF3129"/>
    <w:rsid w:val="00D2341D"/>
    <w:rsid w:val="00DA6CF7"/>
    <w:rsid w:val="00DB345F"/>
    <w:rsid w:val="00DB5BE7"/>
    <w:rsid w:val="00DD314B"/>
    <w:rsid w:val="00DE5D20"/>
    <w:rsid w:val="00DF18F7"/>
    <w:rsid w:val="00DF47F4"/>
    <w:rsid w:val="00E44A4D"/>
    <w:rsid w:val="00E463B1"/>
    <w:rsid w:val="00E74538"/>
    <w:rsid w:val="00E81C8A"/>
    <w:rsid w:val="00E82E56"/>
    <w:rsid w:val="00E944C1"/>
    <w:rsid w:val="00EB10D8"/>
    <w:rsid w:val="00EC2C66"/>
    <w:rsid w:val="00F623EC"/>
    <w:rsid w:val="00FA047D"/>
    <w:rsid w:val="00FA07CA"/>
    <w:rsid w:val="00FA6D6F"/>
    <w:rsid w:val="00FB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870603"/>
    <w:pPr>
      <w:spacing w:after="40"/>
      <w:contextualSpacing/>
      <w:jc w:val="center"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603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59"/>
    <w:rsid w:val="00DB345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34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45F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paragraph" w:customStyle="1" w:styleId="MHPBody">
    <w:name w:val="MHP Body"/>
    <w:basedOn w:val="Normal"/>
    <w:rsid w:val="00870603"/>
    <w:pPr>
      <w:spacing w:line="276" w:lineRule="auto"/>
    </w:pPr>
    <w:rPr>
      <w:rFonts w:asciiTheme="minorHAnsi" w:eastAsia="Times New Roman" w:hAnsiTheme="minorHAnsi" w:cs="Times New Roman"/>
      <w:color w:val="auto"/>
      <w:szCs w:val="20"/>
      <w:lang w:val="en-AU" w:eastAsia="en-AU"/>
    </w:rPr>
  </w:style>
  <w:style w:type="paragraph" w:styleId="BodyText">
    <w:name w:val="Body Text"/>
    <w:basedOn w:val="Normal"/>
    <w:link w:val="BodyTextChar"/>
    <w:rsid w:val="00FA6D6F"/>
    <w:pPr>
      <w:spacing w:before="240" w:after="120"/>
    </w:pPr>
    <w:rPr>
      <w:rFonts w:ascii="Times New Roman" w:hAnsi="Times New Roman" w:cstheme="minorBidi"/>
      <w:color w:val="auto"/>
      <w:szCs w:val="22"/>
    </w:rPr>
  </w:style>
  <w:style w:type="character" w:customStyle="1" w:styleId="BodyTextChar">
    <w:name w:val="Body Text Char"/>
    <w:basedOn w:val="DefaultParagraphFont"/>
    <w:link w:val="BodyText"/>
    <w:rsid w:val="00FA6D6F"/>
    <w:rPr>
      <w:rFonts w:ascii="Times New Roman" w:eastAsiaTheme="minorEastAsia" w:hAnsi="Times New Roman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E5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u.edu.au/files/2021-02/How%20to%20change%20your%20project.doc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omeaffairs.gov.au/covid-19/Documents/commissioners-guidelines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01D38C-8755-4501-BC73-214B3049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Turpin</dc:creator>
  <cp:keywords/>
  <dc:description/>
  <cp:lastModifiedBy>Simon Moss</cp:lastModifiedBy>
  <cp:revision>2</cp:revision>
  <cp:lastPrinted>2021-01-27T23:33:00Z</cp:lastPrinted>
  <dcterms:created xsi:type="dcterms:W3CDTF">2021-03-18T06:54:00Z</dcterms:created>
  <dcterms:modified xsi:type="dcterms:W3CDTF">2021-03-18T06:54:00Z</dcterms:modified>
</cp:coreProperties>
</file>