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08D9" w14:textId="77777777" w:rsidR="00CB6193" w:rsidRPr="00C36B2A" w:rsidRDefault="00CB6193" w:rsidP="00CB6193">
      <w:pPr>
        <w:pStyle w:val="Title"/>
        <w:rPr>
          <w:lang w:val="en-AU"/>
        </w:rPr>
      </w:pPr>
    </w:p>
    <w:p w14:paraId="48191D16" w14:textId="77777777" w:rsidR="00CB6193" w:rsidRPr="00C36B2A" w:rsidRDefault="00CB6193" w:rsidP="00CB6193">
      <w:pPr>
        <w:pStyle w:val="Title"/>
        <w:rPr>
          <w:lang w:val="en-AU"/>
        </w:rPr>
      </w:pPr>
    </w:p>
    <w:p w14:paraId="205DDF65" w14:textId="77777777" w:rsidR="00CB6193" w:rsidRPr="00C36B2A" w:rsidRDefault="00CB6193" w:rsidP="00CB6193">
      <w:pPr>
        <w:pStyle w:val="Title"/>
        <w:rPr>
          <w:lang w:val="en-AU"/>
        </w:rPr>
      </w:pPr>
    </w:p>
    <w:p w14:paraId="3216AC95" w14:textId="77777777" w:rsidR="00CB6193" w:rsidRPr="00C36B2A" w:rsidRDefault="00CB6193" w:rsidP="00CB6193">
      <w:pPr>
        <w:pStyle w:val="Title"/>
        <w:rPr>
          <w:lang w:val="en-AU"/>
        </w:rPr>
      </w:pPr>
    </w:p>
    <w:p w14:paraId="4306C39E" w14:textId="77777777" w:rsidR="00A848EB" w:rsidRDefault="00CB6193" w:rsidP="00CB6193">
      <w:pPr>
        <w:pStyle w:val="Title"/>
        <w:rPr>
          <w:lang w:val="en-AU"/>
        </w:rPr>
      </w:pPr>
      <w:r w:rsidRPr="00C36B2A">
        <w:rPr>
          <w:lang w:val="en-AU"/>
        </w:rPr>
        <w:t xml:space="preserve">PROTECTING THE SAFETY OF </w:t>
      </w:r>
    </w:p>
    <w:p w14:paraId="06B98810" w14:textId="26C086F9" w:rsidR="004A0B5F" w:rsidRPr="00C36B2A" w:rsidRDefault="00CB6193" w:rsidP="00CB6193">
      <w:pPr>
        <w:pStyle w:val="Title"/>
        <w:rPr>
          <w:lang w:val="en-AU"/>
        </w:rPr>
      </w:pPr>
      <w:r w:rsidRPr="00C36B2A">
        <w:rPr>
          <w:lang w:val="en-AU"/>
        </w:rPr>
        <w:t>PEOPLE YOU SUPERVISE</w:t>
      </w:r>
    </w:p>
    <w:p w14:paraId="7811CA0A" w14:textId="77777777" w:rsidR="00FA6D6F" w:rsidRPr="00C36B2A" w:rsidRDefault="00FA6D6F" w:rsidP="00D15AA0">
      <w:pPr>
        <w:spacing w:line="276" w:lineRule="auto"/>
        <w:jc w:val="center"/>
        <w:rPr>
          <w:lang w:val="en-AU"/>
        </w:rPr>
      </w:pPr>
    </w:p>
    <w:p w14:paraId="6B67DE34" w14:textId="4E2EE4F1" w:rsidR="00DB345F" w:rsidRPr="00C36B2A" w:rsidRDefault="00DB345F" w:rsidP="00D15AA0">
      <w:pPr>
        <w:spacing w:line="276" w:lineRule="auto"/>
        <w:jc w:val="center"/>
        <w:rPr>
          <w:rFonts w:cstheme="majorHAnsi"/>
          <w:lang w:val="en-AU"/>
        </w:rPr>
      </w:pPr>
      <w:r w:rsidRPr="00C36B2A">
        <w:rPr>
          <w:rFonts w:cstheme="majorHAnsi"/>
          <w:lang w:val="en-AU"/>
        </w:rPr>
        <w:t>by Simon Moss</w:t>
      </w:r>
    </w:p>
    <w:p w14:paraId="4E8F1D2B" w14:textId="77777777" w:rsidR="00DB345F" w:rsidRPr="00C36B2A" w:rsidRDefault="00DB345F" w:rsidP="00D15AA0">
      <w:pPr>
        <w:spacing w:line="276" w:lineRule="auto"/>
        <w:jc w:val="center"/>
        <w:rPr>
          <w:rFonts w:cstheme="majorHAnsi"/>
          <w:lang w:val="en-AU"/>
        </w:rPr>
      </w:pPr>
    </w:p>
    <w:p w14:paraId="14925CED" w14:textId="0C556B1D" w:rsidR="0081211C" w:rsidRPr="00C36B2A" w:rsidRDefault="0081211C" w:rsidP="00D15AA0">
      <w:pPr>
        <w:spacing w:line="276" w:lineRule="auto"/>
        <w:rPr>
          <w:rStyle w:val="Heading2Char"/>
          <w:rFonts w:cstheme="majorHAnsi"/>
          <w:lang w:val="en-AU"/>
        </w:rPr>
      </w:pPr>
    </w:p>
    <w:p w14:paraId="243AD69A" w14:textId="77777777" w:rsidR="00AC0C50" w:rsidRPr="00C36B2A" w:rsidRDefault="00AC0C50" w:rsidP="00D15AA0">
      <w:pPr>
        <w:spacing w:line="276" w:lineRule="auto"/>
        <w:rPr>
          <w:rStyle w:val="Heading2Char"/>
          <w:rFonts w:cstheme="majorHAnsi"/>
          <w:lang w:val="en-AU"/>
        </w:rPr>
      </w:pPr>
    </w:p>
    <w:p w14:paraId="3E7A6344" w14:textId="743446F0" w:rsidR="00DB345F" w:rsidRPr="00C36B2A" w:rsidRDefault="00DB345F" w:rsidP="00D15AA0">
      <w:pPr>
        <w:spacing w:line="276" w:lineRule="auto"/>
        <w:rPr>
          <w:rStyle w:val="Heading2Char"/>
          <w:rFonts w:cstheme="majorHAnsi"/>
          <w:lang w:val="en-AU"/>
        </w:rPr>
      </w:pPr>
      <w:r w:rsidRPr="00C36B2A">
        <w:rPr>
          <w:rStyle w:val="Heading2Char"/>
          <w:rFonts w:cstheme="majorHAnsi"/>
          <w:lang w:val="en-AU"/>
        </w:rPr>
        <w:t>Introduction</w:t>
      </w:r>
    </w:p>
    <w:p w14:paraId="53575E1C" w14:textId="7C964733" w:rsidR="00AE153D" w:rsidRPr="00C36B2A" w:rsidRDefault="00AE153D" w:rsidP="00D15AA0">
      <w:pPr>
        <w:spacing w:line="276" w:lineRule="auto"/>
        <w:rPr>
          <w:rFonts w:cstheme="majorHAnsi"/>
          <w:lang w:val="en-AU"/>
        </w:rPr>
      </w:pPr>
    </w:p>
    <w:p w14:paraId="6293CAB7" w14:textId="2A529FED" w:rsidR="00CB6193" w:rsidRPr="00C36B2A" w:rsidRDefault="00CB6193" w:rsidP="00CB6193">
      <w:pPr>
        <w:spacing w:line="276" w:lineRule="auto"/>
        <w:rPr>
          <w:rFonts w:cstheme="majorHAnsi"/>
          <w:lang w:val="en-AU"/>
        </w:rPr>
      </w:pPr>
      <w:r w:rsidRPr="00C36B2A">
        <w:rPr>
          <w:rFonts w:cstheme="majorHAnsi"/>
          <w:lang w:val="en-AU"/>
        </w:rPr>
        <w:t>One of the main roles of supervisors is to guarantee the safety of their candidates.  Unfortunately, supervisors often commit t</w:t>
      </w:r>
      <w:r w:rsidR="00A13496">
        <w:rPr>
          <w:rFonts w:cstheme="majorHAnsi"/>
          <w:lang w:val="en-AU"/>
        </w:rPr>
        <w:t>hree</w:t>
      </w:r>
      <w:r w:rsidRPr="00C36B2A">
        <w:rPr>
          <w:rFonts w:cstheme="majorHAnsi"/>
          <w:lang w:val="en-AU"/>
        </w:rPr>
        <w:t xml:space="preserve"> main errors.  First, many supervisors overestimate their capacity to foster a safe environment.  They believe they merely need to</w:t>
      </w:r>
    </w:p>
    <w:p w14:paraId="5AD4B4AE" w14:textId="77777777" w:rsidR="00CB6193" w:rsidRPr="00C36B2A" w:rsidRDefault="00CB6193" w:rsidP="00CB6193">
      <w:pPr>
        <w:spacing w:line="276" w:lineRule="auto"/>
        <w:rPr>
          <w:rFonts w:cstheme="majorHAnsi"/>
          <w:lang w:val="en-AU"/>
        </w:rPr>
      </w:pPr>
    </w:p>
    <w:p w14:paraId="59D0D8BD" w14:textId="77777777" w:rsidR="00093FA1" w:rsidRPr="00C36B2A" w:rsidRDefault="00CB6193" w:rsidP="00CB6193">
      <w:pPr>
        <w:pStyle w:val="ListParagraph"/>
        <w:numPr>
          <w:ilvl w:val="0"/>
          <w:numId w:val="31"/>
        </w:numPr>
        <w:spacing w:line="276" w:lineRule="auto"/>
        <w:rPr>
          <w:rFonts w:cstheme="majorHAnsi"/>
          <w:lang w:val="en-AU"/>
        </w:rPr>
      </w:pPr>
      <w:r w:rsidRPr="00C36B2A">
        <w:rPr>
          <w:rFonts w:cstheme="majorHAnsi"/>
          <w:lang w:val="en-AU"/>
        </w:rPr>
        <w:t>impart the safety procedures to candidates</w:t>
      </w:r>
    </w:p>
    <w:p w14:paraId="034B9B87" w14:textId="77777777" w:rsidR="00093FA1" w:rsidRPr="00C36B2A" w:rsidRDefault="00CB6193" w:rsidP="00CB6193">
      <w:pPr>
        <w:pStyle w:val="ListParagraph"/>
        <w:numPr>
          <w:ilvl w:val="0"/>
          <w:numId w:val="31"/>
        </w:numPr>
        <w:spacing w:line="276" w:lineRule="auto"/>
        <w:rPr>
          <w:rFonts w:cstheme="majorHAnsi"/>
          <w:lang w:val="en-AU"/>
        </w:rPr>
      </w:pPr>
      <w:r w:rsidRPr="00C36B2A">
        <w:rPr>
          <w:rFonts w:cstheme="majorHAnsi"/>
          <w:lang w:val="en-AU"/>
        </w:rPr>
        <w:t>instruct candidates to follow these safety procedures</w:t>
      </w:r>
    </w:p>
    <w:p w14:paraId="739A46A8" w14:textId="6D12BF8E" w:rsidR="00CB6193" w:rsidRPr="00C36B2A" w:rsidRDefault="00CB6193" w:rsidP="00CB6193">
      <w:pPr>
        <w:pStyle w:val="ListParagraph"/>
        <w:numPr>
          <w:ilvl w:val="0"/>
          <w:numId w:val="31"/>
        </w:numPr>
        <w:spacing w:line="276" w:lineRule="auto"/>
        <w:rPr>
          <w:rFonts w:cstheme="majorHAnsi"/>
          <w:lang w:val="en-AU"/>
        </w:rPr>
      </w:pPr>
      <w:r w:rsidRPr="00C36B2A">
        <w:rPr>
          <w:rFonts w:cstheme="majorHAnsi"/>
          <w:lang w:val="en-AU"/>
        </w:rPr>
        <w:t>underscore the importance of safety.</w:t>
      </w:r>
    </w:p>
    <w:p w14:paraId="00958788" w14:textId="77777777" w:rsidR="00CB6193" w:rsidRPr="00C36B2A" w:rsidRDefault="00CB6193" w:rsidP="00CB6193">
      <w:pPr>
        <w:spacing w:line="276" w:lineRule="auto"/>
        <w:rPr>
          <w:rFonts w:cstheme="majorHAnsi"/>
          <w:lang w:val="en-AU"/>
        </w:rPr>
      </w:pPr>
    </w:p>
    <w:p w14:paraId="037D207C" w14:textId="07D4A8BA" w:rsidR="00CB6193" w:rsidRPr="00C36B2A" w:rsidRDefault="00CB6193" w:rsidP="00CB6193">
      <w:pPr>
        <w:spacing w:line="276" w:lineRule="auto"/>
        <w:rPr>
          <w:rFonts w:cstheme="majorHAnsi"/>
          <w:lang w:val="en-AU"/>
        </w:rPr>
      </w:pPr>
      <w:r w:rsidRPr="00C36B2A">
        <w:rPr>
          <w:rFonts w:cstheme="majorHAnsi"/>
          <w:lang w:val="en-AU"/>
        </w:rPr>
        <w:t xml:space="preserve">Nevertheless, these activities are not sufficient to guarantee the safety of candidates (see Maio et al., 2001).  </w:t>
      </w:r>
      <w:r w:rsidR="00093FA1" w:rsidRPr="00C36B2A">
        <w:rPr>
          <w:rFonts w:cstheme="majorHAnsi"/>
          <w:lang w:val="en-AU"/>
        </w:rPr>
        <w:t>Specifically, t</w:t>
      </w:r>
      <w:r w:rsidRPr="00C36B2A">
        <w:rPr>
          <w:rFonts w:cstheme="majorHAnsi"/>
          <w:lang w:val="en-AU"/>
        </w:rPr>
        <w:t xml:space="preserve">he following table outlines some of the overlooked impediments to safety.    </w:t>
      </w:r>
    </w:p>
    <w:p w14:paraId="7253F1BD" w14:textId="58E4FB99" w:rsidR="00CB6193" w:rsidRPr="00C36B2A" w:rsidRDefault="00CB6193" w:rsidP="00CB6193">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506"/>
        <w:gridCol w:w="4536"/>
      </w:tblGrid>
      <w:tr w:rsidR="00AC432D" w:rsidRPr="00C36B2A" w14:paraId="74998DBC" w14:textId="77777777" w:rsidTr="00DF40F7">
        <w:tc>
          <w:tcPr>
            <w:tcW w:w="4506" w:type="dxa"/>
            <w:shd w:val="clear" w:color="auto" w:fill="C6EBD6" w:themeFill="accent5" w:themeFillTint="66"/>
          </w:tcPr>
          <w:p w14:paraId="64DB1D9C" w14:textId="060C1549" w:rsidR="00AC432D" w:rsidRPr="00C36B2A" w:rsidRDefault="00AC432D" w:rsidP="00DC7F86">
            <w:pPr>
              <w:spacing w:line="276" w:lineRule="auto"/>
              <w:jc w:val="center"/>
              <w:rPr>
                <w:rFonts w:cstheme="majorHAnsi"/>
                <w:lang w:val="en-AU"/>
              </w:rPr>
            </w:pPr>
            <w:r w:rsidRPr="00C36B2A">
              <w:rPr>
                <w:rFonts w:cstheme="majorHAnsi"/>
                <w:lang w:val="en-AU"/>
              </w:rPr>
              <w:t>Impediment</w:t>
            </w:r>
          </w:p>
        </w:tc>
        <w:tc>
          <w:tcPr>
            <w:tcW w:w="4536" w:type="dxa"/>
            <w:shd w:val="clear" w:color="auto" w:fill="C6EBD6" w:themeFill="accent5" w:themeFillTint="66"/>
          </w:tcPr>
          <w:p w14:paraId="450BE694" w14:textId="6F4864D2" w:rsidR="00AC432D" w:rsidRPr="00C36B2A" w:rsidRDefault="00AC432D" w:rsidP="00DC7F86">
            <w:pPr>
              <w:spacing w:line="276" w:lineRule="auto"/>
              <w:jc w:val="center"/>
              <w:rPr>
                <w:rFonts w:cstheme="majorHAnsi"/>
                <w:lang w:val="en-AU"/>
              </w:rPr>
            </w:pPr>
            <w:r w:rsidRPr="00C36B2A">
              <w:rPr>
                <w:rFonts w:cstheme="majorHAnsi"/>
                <w:lang w:val="en-AU"/>
              </w:rPr>
              <w:t>Implications</w:t>
            </w:r>
          </w:p>
        </w:tc>
      </w:tr>
      <w:tr w:rsidR="00091F34" w:rsidRPr="00C36B2A" w14:paraId="5FFB6D76" w14:textId="77777777" w:rsidTr="00DF40F7">
        <w:tc>
          <w:tcPr>
            <w:tcW w:w="4506" w:type="dxa"/>
            <w:shd w:val="clear" w:color="auto" w:fill="D9D9D9" w:themeFill="background1" w:themeFillShade="D9"/>
          </w:tcPr>
          <w:p w14:paraId="58CFF7DE" w14:textId="0370F13B" w:rsidR="00091F34" w:rsidRPr="00C36B2A" w:rsidRDefault="00091F34" w:rsidP="00DC7F86">
            <w:pPr>
              <w:spacing w:line="276" w:lineRule="auto"/>
              <w:rPr>
                <w:rFonts w:cstheme="majorHAnsi"/>
                <w:lang w:val="en-AU"/>
              </w:rPr>
            </w:pPr>
            <w:r w:rsidRPr="00C36B2A">
              <w:rPr>
                <w:rFonts w:cstheme="majorHAnsi"/>
                <w:lang w:val="en-AU"/>
              </w:rPr>
              <w:t>When a supervisor demands that individuals follow some procedure,</w:t>
            </w:r>
            <w:r w:rsidR="00136240" w:rsidRPr="00C36B2A">
              <w:rPr>
                <w:rFonts w:cstheme="majorHAnsi"/>
                <w:lang w:val="en-AU"/>
              </w:rPr>
              <w:t xml:space="preserve"> such as a safety practice</w:t>
            </w:r>
            <w:r w:rsidR="0001050D">
              <w:rPr>
                <w:rFonts w:cstheme="majorHAnsi"/>
                <w:lang w:val="en-AU"/>
              </w:rPr>
              <w:t>,</w:t>
            </w:r>
            <w:r w:rsidRPr="00C36B2A">
              <w:rPr>
                <w:rFonts w:cstheme="majorHAnsi"/>
                <w:lang w:val="en-AU"/>
              </w:rPr>
              <w:t xml:space="preserve"> individuals often experience a state called psychological reactance</w:t>
            </w:r>
            <w:r w:rsidR="0001050D">
              <w:rPr>
                <w:rFonts w:cstheme="majorHAnsi"/>
                <w:lang w:val="en-AU"/>
              </w:rPr>
              <w:t xml:space="preserve"> (</w:t>
            </w:r>
            <w:r w:rsidR="005A1AE0" w:rsidRPr="00C36B2A">
              <w:rPr>
                <w:rFonts w:cstheme="majorHAnsi"/>
                <w:lang w:val="en-AU"/>
              </w:rPr>
              <w:t xml:space="preserve">Rosenberg &amp; Siegel, 2018), </w:t>
            </w:r>
            <w:r w:rsidRPr="00C36B2A">
              <w:rPr>
                <w:rFonts w:cstheme="majorHAnsi"/>
                <w:lang w:val="en-AU"/>
              </w:rPr>
              <w:t>in which they feel defensive or defiant</w:t>
            </w:r>
          </w:p>
        </w:tc>
        <w:tc>
          <w:tcPr>
            <w:tcW w:w="4536" w:type="dxa"/>
            <w:shd w:val="clear" w:color="auto" w:fill="D9D9D9" w:themeFill="background1" w:themeFillShade="D9"/>
          </w:tcPr>
          <w:p w14:paraId="3D64D2E5" w14:textId="77297D72" w:rsidR="00091F34" w:rsidRPr="00C36B2A" w:rsidRDefault="00136240" w:rsidP="00091F34">
            <w:pPr>
              <w:pStyle w:val="ListParagraph"/>
              <w:numPr>
                <w:ilvl w:val="0"/>
                <w:numId w:val="32"/>
              </w:numPr>
              <w:spacing w:line="276" w:lineRule="auto"/>
              <w:rPr>
                <w:rFonts w:cstheme="majorHAnsi"/>
                <w:lang w:val="en-AU"/>
              </w:rPr>
            </w:pPr>
            <w:r w:rsidRPr="00C36B2A">
              <w:rPr>
                <w:rFonts w:cstheme="majorHAnsi"/>
                <w:lang w:val="en-AU"/>
              </w:rPr>
              <w:t>In this defensive or defiant state, candidates will tend to observe safety procedures only when monitored.  They may not, therefore, proactively identify hazards that could harm someone else—or engage in other activities that are not monitored or rewarded</w:t>
            </w:r>
          </w:p>
        </w:tc>
      </w:tr>
      <w:tr w:rsidR="00AC432D" w:rsidRPr="00C36B2A" w14:paraId="5C16E363" w14:textId="77777777" w:rsidTr="00DF40F7">
        <w:tc>
          <w:tcPr>
            <w:tcW w:w="4506" w:type="dxa"/>
            <w:shd w:val="clear" w:color="auto" w:fill="D9D9D9" w:themeFill="background1" w:themeFillShade="D9"/>
          </w:tcPr>
          <w:p w14:paraId="41DF5A8F" w14:textId="28A7E922" w:rsidR="00AC432D" w:rsidRPr="00C36B2A" w:rsidRDefault="00DF40F7" w:rsidP="00DC7F86">
            <w:pPr>
              <w:spacing w:line="276" w:lineRule="auto"/>
              <w:rPr>
                <w:rFonts w:cstheme="majorHAnsi"/>
                <w:lang w:val="en-AU"/>
              </w:rPr>
            </w:pPr>
            <w:r w:rsidRPr="00C36B2A">
              <w:rPr>
                <w:rFonts w:cstheme="majorHAnsi"/>
                <w:lang w:val="en-AU"/>
              </w:rPr>
              <w:t>Individuals tend to underestimate the time they need to complete their tasks, called the planning fallacy (</w:t>
            </w:r>
            <w:r w:rsidR="00486F32" w:rsidRPr="00C36B2A">
              <w:rPr>
                <w:rFonts w:cstheme="majorHAnsi"/>
                <w:lang w:val="en-AU"/>
              </w:rPr>
              <w:t>Buehler et al., 1994</w:t>
            </w:r>
            <w:r w:rsidRPr="00C36B2A">
              <w:rPr>
                <w:rFonts w:cstheme="majorHAnsi"/>
                <w:lang w:val="en-AU"/>
              </w:rPr>
              <w:t>), and thus tend to feel too rushed</w:t>
            </w:r>
          </w:p>
        </w:tc>
        <w:tc>
          <w:tcPr>
            <w:tcW w:w="4536" w:type="dxa"/>
            <w:shd w:val="clear" w:color="auto" w:fill="D9D9D9" w:themeFill="background1" w:themeFillShade="D9"/>
          </w:tcPr>
          <w:p w14:paraId="52853A35" w14:textId="24CF8A02" w:rsidR="00AC432D" w:rsidRPr="00C36B2A" w:rsidRDefault="00091F34" w:rsidP="00091F34">
            <w:pPr>
              <w:pStyle w:val="ListParagraph"/>
              <w:numPr>
                <w:ilvl w:val="0"/>
                <w:numId w:val="32"/>
              </w:numPr>
              <w:spacing w:line="276" w:lineRule="auto"/>
              <w:rPr>
                <w:rFonts w:cstheme="majorHAnsi"/>
                <w:lang w:val="en-AU"/>
              </w:rPr>
            </w:pPr>
            <w:r w:rsidRPr="00C36B2A">
              <w:rPr>
                <w:rFonts w:cstheme="majorHAnsi"/>
                <w:lang w:val="en-AU"/>
              </w:rPr>
              <w:t xml:space="preserve">Because of the planning fallacy, candidates often feel rushed.  Consequently, they are not as inclined to observe safety protocols, </w:t>
            </w:r>
            <w:r w:rsidRPr="00C36B2A">
              <w:rPr>
                <w:rFonts w:cstheme="majorHAnsi"/>
                <w:lang w:val="en-AU"/>
              </w:rPr>
              <w:lastRenderedPageBreak/>
              <w:t>to identify hazards, and to manage these hazards</w:t>
            </w:r>
          </w:p>
        </w:tc>
      </w:tr>
      <w:tr w:rsidR="00136240" w:rsidRPr="00C36B2A" w14:paraId="2F0077C9" w14:textId="77777777" w:rsidTr="00DF40F7">
        <w:tc>
          <w:tcPr>
            <w:tcW w:w="4506" w:type="dxa"/>
            <w:shd w:val="clear" w:color="auto" w:fill="D9D9D9" w:themeFill="background1" w:themeFillShade="D9"/>
          </w:tcPr>
          <w:p w14:paraId="5FECA51F" w14:textId="087233C1" w:rsidR="00136240" w:rsidRPr="00C36B2A" w:rsidRDefault="00136240" w:rsidP="00DC7F86">
            <w:pPr>
              <w:spacing w:line="276" w:lineRule="auto"/>
              <w:rPr>
                <w:rFonts w:cstheme="majorHAnsi"/>
                <w:lang w:val="en-AU"/>
              </w:rPr>
            </w:pPr>
            <w:r w:rsidRPr="00C36B2A">
              <w:rPr>
                <w:rFonts w:cstheme="majorHAnsi"/>
                <w:lang w:val="en-AU"/>
              </w:rPr>
              <w:lastRenderedPageBreak/>
              <w:t>Supervisors tend to overestimate the likelihood that other individuals will achieve their plans or intentions (</w:t>
            </w:r>
            <w:proofErr w:type="spellStart"/>
            <w:r w:rsidRPr="00C36B2A">
              <w:rPr>
                <w:rFonts w:cstheme="majorHAnsi"/>
                <w:lang w:val="en-AU"/>
              </w:rPr>
              <w:t>Kupor</w:t>
            </w:r>
            <w:proofErr w:type="spellEnd"/>
            <w:r w:rsidRPr="00C36B2A">
              <w:rPr>
                <w:rFonts w:cstheme="majorHAnsi"/>
                <w:lang w:val="en-AU"/>
              </w:rPr>
              <w:t xml:space="preserve">, </w:t>
            </w:r>
            <w:proofErr w:type="spellStart"/>
            <w:r w:rsidRPr="00C36B2A">
              <w:rPr>
                <w:rFonts w:cstheme="majorHAnsi"/>
                <w:lang w:val="en-AU"/>
              </w:rPr>
              <w:t>Brucks</w:t>
            </w:r>
            <w:proofErr w:type="spellEnd"/>
            <w:r w:rsidRPr="00C36B2A">
              <w:rPr>
                <w:rFonts w:cstheme="majorHAnsi"/>
                <w:lang w:val="en-AU"/>
              </w:rPr>
              <w:t>, &amp; Huang, 2019)</w:t>
            </w:r>
          </w:p>
        </w:tc>
        <w:tc>
          <w:tcPr>
            <w:tcW w:w="4536" w:type="dxa"/>
            <w:shd w:val="clear" w:color="auto" w:fill="D9D9D9" w:themeFill="background1" w:themeFillShade="D9"/>
          </w:tcPr>
          <w:p w14:paraId="5D7704E1" w14:textId="77777777" w:rsidR="00136240" w:rsidRPr="00C36B2A" w:rsidRDefault="00136240" w:rsidP="00091F34">
            <w:pPr>
              <w:pStyle w:val="ListParagraph"/>
              <w:numPr>
                <w:ilvl w:val="0"/>
                <w:numId w:val="32"/>
              </w:numPr>
              <w:spacing w:line="276" w:lineRule="auto"/>
              <w:rPr>
                <w:rFonts w:cstheme="majorHAnsi"/>
                <w:lang w:val="en-AU"/>
              </w:rPr>
            </w:pPr>
            <w:r w:rsidRPr="00C36B2A">
              <w:rPr>
                <w:rFonts w:cstheme="majorHAnsi"/>
                <w:lang w:val="en-AU"/>
              </w:rPr>
              <w:t xml:space="preserve">Even candidates who genuinely intend to work as safely as possible and improve the safety of their environment often do not achieve this goal.  </w:t>
            </w:r>
          </w:p>
          <w:p w14:paraId="14878B87" w14:textId="45796726" w:rsidR="00136240" w:rsidRPr="00C36B2A" w:rsidRDefault="00136240" w:rsidP="00091F34">
            <w:pPr>
              <w:pStyle w:val="ListParagraph"/>
              <w:numPr>
                <w:ilvl w:val="0"/>
                <w:numId w:val="32"/>
              </w:numPr>
              <w:spacing w:line="276" w:lineRule="auto"/>
              <w:rPr>
                <w:rFonts w:cstheme="majorHAnsi"/>
                <w:lang w:val="en-AU"/>
              </w:rPr>
            </w:pPr>
            <w:r w:rsidRPr="00C36B2A">
              <w:rPr>
                <w:rFonts w:cstheme="majorHAnsi"/>
                <w:lang w:val="en-AU"/>
              </w:rPr>
              <w:t>Consequently, supervisors often do not monitor candidates as frequently as they should</w:t>
            </w:r>
          </w:p>
        </w:tc>
      </w:tr>
      <w:tr w:rsidR="00AC3374" w:rsidRPr="00C36B2A" w14:paraId="031E9863" w14:textId="77777777" w:rsidTr="00DF40F7">
        <w:tc>
          <w:tcPr>
            <w:tcW w:w="4506" w:type="dxa"/>
            <w:shd w:val="clear" w:color="auto" w:fill="D9D9D9" w:themeFill="background1" w:themeFillShade="D9"/>
          </w:tcPr>
          <w:p w14:paraId="40A41732" w14:textId="4864BF0F" w:rsidR="00AC3374" w:rsidRPr="00C36B2A" w:rsidRDefault="00AC3374" w:rsidP="00DC7F86">
            <w:pPr>
              <w:spacing w:line="276" w:lineRule="auto"/>
              <w:rPr>
                <w:rFonts w:cstheme="majorHAnsi"/>
                <w:lang w:val="en-AU"/>
              </w:rPr>
            </w:pPr>
            <w:r w:rsidRPr="00C36B2A">
              <w:rPr>
                <w:rFonts w:cstheme="majorHAnsi"/>
                <w:lang w:val="en-AU"/>
              </w:rPr>
              <w:t>Supervisors tend to overestimate the benefits of safety training</w:t>
            </w:r>
          </w:p>
        </w:tc>
        <w:tc>
          <w:tcPr>
            <w:tcW w:w="4536" w:type="dxa"/>
            <w:shd w:val="clear" w:color="auto" w:fill="D9D9D9" w:themeFill="background1" w:themeFillShade="D9"/>
          </w:tcPr>
          <w:p w14:paraId="721AA450" w14:textId="7CE5C694" w:rsidR="00AC3374" w:rsidRPr="00C36B2A" w:rsidRDefault="00AC3374" w:rsidP="00091F34">
            <w:pPr>
              <w:pStyle w:val="ListParagraph"/>
              <w:numPr>
                <w:ilvl w:val="0"/>
                <w:numId w:val="32"/>
              </w:numPr>
              <w:spacing w:line="276" w:lineRule="auto"/>
              <w:rPr>
                <w:rFonts w:cstheme="majorHAnsi"/>
                <w:lang w:val="en-AU"/>
              </w:rPr>
            </w:pPr>
            <w:r w:rsidRPr="00C36B2A">
              <w:rPr>
                <w:rFonts w:cstheme="majorHAnsi"/>
                <w:lang w:val="en-AU"/>
              </w:rPr>
              <w:t>As research shows, candidates who complete safety training do not necessarily work more safely, especially if the training is not particularly engaging (e.g., Burke et al., 2011).</w:t>
            </w:r>
          </w:p>
        </w:tc>
      </w:tr>
    </w:tbl>
    <w:p w14:paraId="3BEDDC96" w14:textId="77777777" w:rsidR="00CB6193" w:rsidRPr="00C36B2A" w:rsidRDefault="00CB6193" w:rsidP="00CB6193">
      <w:pPr>
        <w:spacing w:line="276" w:lineRule="auto"/>
        <w:rPr>
          <w:rFonts w:cstheme="majorHAnsi"/>
          <w:lang w:val="en-AU"/>
        </w:rPr>
      </w:pPr>
    </w:p>
    <w:p w14:paraId="4905C4F5" w14:textId="77777777" w:rsidR="00CB6193" w:rsidRPr="00C36B2A" w:rsidRDefault="00CB6193" w:rsidP="00CB6193">
      <w:pPr>
        <w:spacing w:line="276" w:lineRule="auto"/>
        <w:rPr>
          <w:rFonts w:cstheme="majorHAnsi"/>
          <w:lang w:val="en-AU"/>
        </w:rPr>
      </w:pPr>
    </w:p>
    <w:p w14:paraId="3E801FC6" w14:textId="3ECE14F3" w:rsidR="00CB6193" w:rsidRDefault="00CB6193" w:rsidP="00CB6193">
      <w:pPr>
        <w:spacing w:line="276" w:lineRule="auto"/>
        <w:rPr>
          <w:rFonts w:cstheme="majorHAnsi"/>
          <w:lang w:val="en-AU"/>
        </w:rPr>
      </w:pPr>
      <w:r w:rsidRPr="00C36B2A">
        <w:rPr>
          <w:rFonts w:cstheme="majorHAnsi"/>
          <w:lang w:val="en-AU"/>
        </w:rPr>
        <w:t xml:space="preserve">Second, many supervisors underestimate the relevance of safety to their fields.  Hazards are not only rife in fields that involve chemicals, equipment, or fieldwork.  Hazards are still pervasive in social sciences, business, and indeed most fields.  </w:t>
      </w:r>
      <w:r w:rsidR="00AC3374" w:rsidRPr="00C36B2A">
        <w:rPr>
          <w:rFonts w:cstheme="majorHAnsi"/>
          <w:lang w:val="en-AU"/>
        </w:rPr>
        <w:t>Arguably</w:t>
      </w:r>
      <w:r w:rsidRPr="00C36B2A">
        <w:rPr>
          <w:rFonts w:cstheme="majorHAnsi"/>
          <w:lang w:val="en-AU"/>
        </w:rPr>
        <w:t>, because of a tendency called the representativeness bias</w:t>
      </w:r>
      <w:r w:rsidR="00AC3374" w:rsidRPr="00C36B2A">
        <w:rPr>
          <w:rFonts w:cstheme="majorHAnsi"/>
          <w:lang w:val="en-AU"/>
        </w:rPr>
        <w:t xml:space="preserve"> (</w:t>
      </w:r>
      <w:proofErr w:type="spellStart"/>
      <w:r w:rsidR="009F2203" w:rsidRPr="00C36B2A">
        <w:rPr>
          <w:rFonts w:cstheme="majorHAnsi"/>
          <w:lang w:val="en-AU"/>
        </w:rPr>
        <w:t>Verzobio</w:t>
      </w:r>
      <w:proofErr w:type="spellEnd"/>
      <w:r w:rsidR="009F2203" w:rsidRPr="00C36B2A">
        <w:rPr>
          <w:rFonts w:cstheme="majorHAnsi"/>
          <w:lang w:val="en-AU"/>
        </w:rPr>
        <w:t xml:space="preserve"> et al., 2020</w:t>
      </w:r>
      <w:r w:rsidR="00AC3374" w:rsidRPr="00C36B2A">
        <w:rPr>
          <w:rFonts w:cstheme="majorHAnsi"/>
          <w:lang w:val="en-AU"/>
        </w:rPr>
        <w:t>)</w:t>
      </w:r>
      <w:r w:rsidRPr="00C36B2A">
        <w:rPr>
          <w:rFonts w:cstheme="majorHAnsi"/>
          <w:lang w:val="en-AU"/>
        </w:rPr>
        <w:t xml:space="preserve">, supervisors are </w:t>
      </w:r>
      <w:proofErr w:type="gramStart"/>
      <w:r w:rsidRPr="00C36B2A">
        <w:rPr>
          <w:rFonts w:cstheme="majorHAnsi"/>
          <w:lang w:val="en-AU"/>
        </w:rPr>
        <w:t>actually more</w:t>
      </w:r>
      <w:proofErr w:type="gramEnd"/>
      <w:r w:rsidRPr="00C36B2A">
        <w:rPr>
          <w:rFonts w:cstheme="majorHAnsi"/>
          <w:lang w:val="en-AU"/>
        </w:rPr>
        <w:t xml:space="preserve"> likely to underestimate the incidence of hazards in these other fields.  </w:t>
      </w:r>
    </w:p>
    <w:p w14:paraId="1CDE97C3" w14:textId="4AE77362" w:rsidR="00A13496" w:rsidRPr="00A13496" w:rsidRDefault="00A13496" w:rsidP="00CB6193">
      <w:pPr>
        <w:spacing w:line="276" w:lineRule="auto"/>
        <w:rPr>
          <w:rFonts w:cstheme="majorHAnsi"/>
          <w:color w:val="808080" w:themeColor="background1" w:themeShade="80"/>
          <w:lang w:val="en-AU"/>
        </w:rPr>
      </w:pPr>
      <w:r w:rsidRPr="00A13496">
        <w:rPr>
          <w:rFonts w:cstheme="majorHAnsi"/>
          <w:color w:val="808080" w:themeColor="background1" w:themeShade="80"/>
          <w:lang w:val="en-AU"/>
        </w:rPr>
        <w:t>____________________________________________________________________________________</w:t>
      </w:r>
    </w:p>
    <w:p w14:paraId="4B63BCBE" w14:textId="77777777" w:rsidR="00A13496" w:rsidRDefault="00A13496" w:rsidP="00CB6193">
      <w:pPr>
        <w:spacing w:line="276" w:lineRule="auto"/>
        <w:rPr>
          <w:rFonts w:cstheme="majorHAnsi"/>
          <w:lang w:val="en-AU"/>
        </w:rPr>
      </w:pPr>
    </w:p>
    <w:p w14:paraId="2943DBE5" w14:textId="77777777" w:rsidR="00A13496" w:rsidRDefault="00A13496" w:rsidP="00CB6193">
      <w:pPr>
        <w:spacing w:line="276" w:lineRule="auto"/>
        <w:rPr>
          <w:rFonts w:cstheme="majorHAnsi"/>
          <w:lang w:val="en-AU"/>
        </w:rPr>
      </w:pPr>
      <w:r>
        <w:rPr>
          <w:rFonts w:cstheme="majorHAnsi"/>
          <w:lang w:val="en-AU"/>
        </w:rPr>
        <w:t xml:space="preserve">Third, supervisors frequently orient their attention to physical safety rather than mental health safety.  But interestingly, </w:t>
      </w:r>
    </w:p>
    <w:p w14:paraId="5DDF29B8" w14:textId="77777777" w:rsidR="00A13496" w:rsidRDefault="00A13496" w:rsidP="00CB6193">
      <w:pPr>
        <w:spacing w:line="276" w:lineRule="auto"/>
        <w:rPr>
          <w:rFonts w:cstheme="majorHAnsi"/>
          <w:lang w:val="en-AU"/>
        </w:rPr>
      </w:pPr>
    </w:p>
    <w:p w14:paraId="2EDA3312" w14:textId="366AB68C" w:rsidR="00A13496" w:rsidRDefault="00A13496" w:rsidP="00A13496">
      <w:pPr>
        <w:pStyle w:val="ListParagraph"/>
        <w:numPr>
          <w:ilvl w:val="0"/>
          <w:numId w:val="32"/>
        </w:numPr>
        <w:spacing w:line="276" w:lineRule="auto"/>
        <w:rPr>
          <w:rFonts w:cstheme="majorHAnsi"/>
          <w:lang w:val="en-AU"/>
        </w:rPr>
      </w:pPr>
      <w:r w:rsidRPr="00A13496">
        <w:rPr>
          <w:rFonts w:cstheme="majorHAnsi"/>
          <w:lang w:val="en-AU"/>
        </w:rPr>
        <w:t>compensation claims that revolve around mental health</w:t>
      </w:r>
      <w:r>
        <w:rPr>
          <w:rFonts w:cstheme="majorHAnsi"/>
          <w:lang w:val="en-AU"/>
        </w:rPr>
        <w:t xml:space="preserve"> problems</w:t>
      </w:r>
      <w:r w:rsidRPr="00A13496">
        <w:rPr>
          <w:rFonts w:cstheme="majorHAnsi"/>
          <w:lang w:val="en-AU"/>
        </w:rPr>
        <w:t xml:space="preserve"> tend to be about $15 000 more than compensation claims that revolve around physical injuries</w:t>
      </w:r>
    </w:p>
    <w:p w14:paraId="1A1D3CB1" w14:textId="6B5615ED" w:rsidR="00A13496" w:rsidRPr="00A13496" w:rsidRDefault="00A13496" w:rsidP="00A13496">
      <w:pPr>
        <w:pStyle w:val="ListParagraph"/>
        <w:numPr>
          <w:ilvl w:val="0"/>
          <w:numId w:val="32"/>
        </w:numPr>
        <w:spacing w:line="276" w:lineRule="auto"/>
        <w:rPr>
          <w:rFonts w:cstheme="majorHAnsi"/>
          <w:lang w:val="en-AU"/>
        </w:rPr>
      </w:pPr>
      <w:r>
        <w:rPr>
          <w:rFonts w:cstheme="majorHAnsi"/>
          <w:lang w:val="en-AU"/>
        </w:rPr>
        <w:t>similarly, the average time individuals are away from work is about 16 weeks in response to mental health problems and 6 weeks in response to other claims (</w:t>
      </w:r>
      <w:r w:rsidRPr="00A13496">
        <w:rPr>
          <w:rFonts w:cstheme="majorHAnsi"/>
          <w:lang w:val="en-AU"/>
        </w:rPr>
        <w:t>Productivity Commission, Australian Government</w:t>
      </w:r>
      <w:r>
        <w:rPr>
          <w:rFonts w:cstheme="majorHAnsi"/>
          <w:lang w:val="en-AU"/>
        </w:rPr>
        <w:t xml:space="preserve">, </w:t>
      </w:r>
      <w:r w:rsidRPr="00A13496">
        <w:rPr>
          <w:rFonts w:cstheme="majorHAnsi"/>
          <w:lang w:val="en-AU"/>
        </w:rPr>
        <w:t>October, 2019b</w:t>
      </w:r>
      <w:r>
        <w:rPr>
          <w:rFonts w:cstheme="majorHAnsi"/>
          <w:lang w:val="en-AU"/>
        </w:rPr>
        <w:t>)</w:t>
      </w:r>
      <w:r w:rsidR="00830E20">
        <w:rPr>
          <w:rFonts w:cstheme="majorHAnsi"/>
          <w:lang w:val="en-AU"/>
        </w:rPr>
        <w:t>—although only about 6% of all claims tend to revolve around mental health</w:t>
      </w:r>
    </w:p>
    <w:p w14:paraId="5A5A998B" w14:textId="60C14189" w:rsidR="00A13496" w:rsidRDefault="00A13496" w:rsidP="00CB6193">
      <w:pPr>
        <w:spacing w:line="276" w:lineRule="auto"/>
        <w:rPr>
          <w:rFonts w:cstheme="majorHAnsi"/>
          <w:lang w:val="en-AU"/>
        </w:rPr>
      </w:pPr>
    </w:p>
    <w:p w14:paraId="696AA542" w14:textId="77777777" w:rsidR="000072A4" w:rsidRPr="00A13496" w:rsidRDefault="000072A4" w:rsidP="000072A4">
      <w:pPr>
        <w:spacing w:line="276" w:lineRule="auto"/>
        <w:rPr>
          <w:rFonts w:cstheme="majorHAnsi"/>
          <w:color w:val="808080" w:themeColor="background1" w:themeShade="80"/>
          <w:lang w:val="en-AU"/>
        </w:rPr>
      </w:pPr>
      <w:r w:rsidRPr="00A13496">
        <w:rPr>
          <w:rFonts w:cstheme="majorHAnsi"/>
          <w:color w:val="808080" w:themeColor="background1" w:themeShade="80"/>
          <w:lang w:val="en-AU"/>
        </w:rPr>
        <w:t>____________________________________________________________________________________</w:t>
      </w:r>
    </w:p>
    <w:p w14:paraId="3B52B7F5" w14:textId="77777777" w:rsidR="000072A4" w:rsidRDefault="000072A4" w:rsidP="000072A4">
      <w:pPr>
        <w:spacing w:line="276" w:lineRule="auto"/>
        <w:rPr>
          <w:rFonts w:cstheme="majorHAnsi"/>
          <w:lang w:val="en-AU"/>
        </w:rPr>
      </w:pPr>
    </w:p>
    <w:p w14:paraId="70FC0F04" w14:textId="6C0FC689" w:rsidR="00A13496" w:rsidRDefault="000072A4" w:rsidP="00CB6193">
      <w:pPr>
        <w:spacing w:line="276" w:lineRule="auto"/>
        <w:rPr>
          <w:rFonts w:cstheme="majorHAnsi"/>
          <w:lang w:val="en-AU"/>
        </w:rPr>
      </w:pPr>
      <w:r>
        <w:rPr>
          <w:rFonts w:cstheme="majorHAnsi"/>
          <w:lang w:val="en-AU"/>
        </w:rPr>
        <w:t xml:space="preserve">This document presents some guidelines, derived from the empirical literature on safety, that help academics protect the safety of the people they supervise. This document should be read in concert with the safety policies, procedures, and guidelines of the University, Colleges, and Institutes.    </w:t>
      </w:r>
    </w:p>
    <w:p w14:paraId="48C0BD33" w14:textId="6CE974BC" w:rsidR="00AC3374" w:rsidRPr="00C36B2A" w:rsidRDefault="00AC3374" w:rsidP="00CB6193">
      <w:pPr>
        <w:spacing w:line="276" w:lineRule="auto"/>
        <w:rPr>
          <w:rFonts w:cstheme="majorHAnsi"/>
          <w:lang w:val="en-AU"/>
        </w:rPr>
      </w:pPr>
    </w:p>
    <w:p w14:paraId="53304449" w14:textId="77777777" w:rsidR="00BE329C" w:rsidRPr="00C36B2A" w:rsidRDefault="00BE329C" w:rsidP="00CB6193">
      <w:pPr>
        <w:spacing w:line="276" w:lineRule="auto"/>
        <w:rPr>
          <w:rFonts w:cstheme="majorHAnsi"/>
          <w:lang w:val="en-AU"/>
        </w:rPr>
      </w:pPr>
    </w:p>
    <w:p w14:paraId="1525F9B6" w14:textId="77777777" w:rsidR="00BE329C" w:rsidRPr="00C36B2A" w:rsidRDefault="00BE329C" w:rsidP="00CB6193">
      <w:pPr>
        <w:spacing w:line="276" w:lineRule="auto"/>
        <w:rPr>
          <w:rFonts w:cstheme="majorHAnsi"/>
          <w:lang w:val="en-AU"/>
        </w:rPr>
      </w:pPr>
    </w:p>
    <w:p w14:paraId="6609287A" w14:textId="77777777" w:rsidR="00CC1B48" w:rsidRDefault="00CC1B48">
      <w:pPr>
        <w:rPr>
          <w:rFonts w:asciiTheme="minorHAnsi" w:hAnsiTheme="minorHAnsi"/>
          <w:b/>
          <w:sz w:val="28"/>
          <w:szCs w:val="32"/>
          <w:lang w:val="en-AU"/>
        </w:rPr>
      </w:pPr>
      <w:r>
        <w:rPr>
          <w:lang w:val="en-AU"/>
        </w:rPr>
        <w:br w:type="page"/>
      </w:r>
    </w:p>
    <w:p w14:paraId="1823DDE8" w14:textId="77777777" w:rsidR="00A848EB" w:rsidRPr="00A848EB" w:rsidRDefault="00A848EB" w:rsidP="00A848EB">
      <w:pPr>
        <w:spacing w:line="276" w:lineRule="auto"/>
        <w:outlineLvl w:val="0"/>
        <w:rPr>
          <w:rFonts w:asciiTheme="minorHAnsi" w:hAnsiTheme="minorHAnsi"/>
          <w:b/>
          <w:sz w:val="28"/>
          <w:szCs w:val="32"/>
          <w:lang w:val="en-AU"/>
        </w:rPr>
      </w:pPr>
    </w:p>
    <w:p w14:paraId="3304C46E" w14:textId="77777777" w:rsidR="00A848EB" w:rsidRPr="00A848EB" w:rsidRDefault="00A848EB" w:rsidP="00A848EB">
      <w:pPr>
        <w:spacing w:line="276" w:lineRule="auto"/>
        <w:outlineLvl w:val="0"/>
        <w:rPr>
          <w:rFonts w:asciiTheme="minorHAnsi" w:hAnsiTheme="minorHAnsi"/>
          <w:b/>
          <w:sz w:val="28"/>
          <w:szCs w:val="32"/>
          <w:lang w:val="en-AU"/>
        </w:rPr>
      </w:pPr>
      <w:r w:rsidRPr="00A848EB">
        <w:rPr>
          <w:rFonts w:asciiTheme="minorHAnsi" w:hAnsiTheme="minorHAnsi"/>
          <w:b/>
          <w:sz w:val="28"/>
          <w:szCs w:val="32"/>
          <w:lang w:val="en-AU"/>
        </w:rPr>
        <w:t>Relevant forms, guidelines, and procedures</w:t>
      </w:r>
    </w:p>
    <w:p w14:paraId="69E667D8" w14:textId="77777777" w:rsidR="00A848EB" w:rsidRDefault="00A848EB" w:rsidP="00A848EB">
      <w:pPr>
        <w:spacing w:line="276" w:lineRule="auto"/>
        <w:outlineLvl w:val="0"/>
        <w:rPr>
          <w:b/>
          <w:szCs w:val="22"/>
          <w:lang w:val="en-AU"/>
        </w:rPr>
      </w:pPr>
    </w:p>
    <w:p w14:paraId="472ACAB8" w14:textId="7006C08A" w:rsidR="00A848EB" w:rsidRDefault="00A848EB" w:rsidP="00A848EB">
      <w:pPr>
        <w:spacing w:line="276" w:lineRule="auto"/>
        <w:outlineLvl w:val="0"/>
        <w:rPr>
          <w:bCs/>
          <w:szCs w:val="22"/>
          <w:lang w:val="en-AU"/>
        </w:rPr>
      </w:pPr>
      <w:r>
        <w:rPr>
          <w:bCs/>
          <w:szCs w:val="22"/>
          <w:lang w:val="en-AU"/>
        </w:rPr>
        <w:t>If the research that your HDR candidates undertake may be hazardous, you need to read and to follow the relevant forms, guidelines, and procedures.  The following table outlines which documents you should read in various circumstances.  To access these forms, you may need to</w:t>
      </w:r>
    </w:p>
    <w:p w14:paraId="4FAFDB58" w14:textId="77777777" w:rsidR="00A848EB" w:rsidRDefault="00A848EB" w:rsidP="00A848EB">
      <w:pPr>
        <w:spacing w:line="276" w:lineRule="auto"/>
        <w:outlineLvl w:val="0"/>
        <w:rPr>
          <w:bCs/>
          <w:szCs w:val="22"/>
          <w:lang w:val="en-AU"/>
        </w:rPr>
      </w:pPr>
    </w:p>
    <w:p w14:paraId="287EAB64" w14:textId="77777777" w:rsidR="00A848EB" w:rsidRDefault="00A848EB" w:rsidP="00A848EB">
      <w:pPr>
        <w:pStyle w:val="ListParagraph"/>
        <w:numPr>
          <w:ilvl w:val="0"/>
          <w:numId w:val="35"/>
        </w:numPr>
        <w:spacing w:line="276" w:lineRule="auto"/>
        <w:outlineLvl w:val="0"/>
        <w:rPr>
          <w:bCs/>
          <w:szCs w:val="22"/>
          <w:lang w:val="en-AU"/>
        </w:rPr>
      </w:pPr>
      <w:r>
        <w:rPr>
          <w:bCs/>
          <w:szCs w:val="22"/>
          <w:lang w:val="en-AU"/>
        </w:rPr>
        <w:t>open Waterhole from your CDU portal</w:t>
      </w:r>
    </w:p>
    <w:p w14:paraId="1E81EECD" w14:textId="77777777" w:rsidR="00A848EB" w:rsidRDefault="00A848EB" w:rsidP="00A848EB">
      <w:pPr>
        <w:pStyle w:val="ListParagraph"/>
        <w:numPr>
          <w:ilvl w:val="0"/>
          <w:numId w:val="35"/>
        </w:numPr>
        <w:spacing w:line="276" w:lineRule="auto"/>
        <w:outlineLvl w:val="0"/>
        <w:rPr>
          <w:bCs/>
          <w:szCs w:val="22"/>
          <w:lang w:val="en-AU"/>
        </w:rPr>
      </w:pPr>
      <w:r>
        <w:rPr>
          <w:bCs/>
          <w:szCs w:val="22"/>
          <w:lang w:val="en-AU"/>
        </w:rPr>
        <w:t>select the tab “Form finder”</w:t>
      </w:r>
    </w:p>
    <w:p w14:paraId="79B2EF48" w14:textId="77777777" w:rsidR="00A848EB" w:rsidRDefault="00A848EB" w:rsidP="00A848EB">
      <w:pPr>
        <w:pStyle w:val="ListParagraph"/>
        <w:numPr>
          <w:ilvl w:val="0"/>
          <w:numId w:val="35"/>
        </w:numPr>
        <w:spacing w:line="276" w:lineRule="auto"/>
        <w:outlineLvl w:val="0"/>
        <w:rPr>
          <w:bCs/>
          <w:szCs w:val="22"/>
          <w:lang w:val="en-AU"/>
        </w:rPr>
      </w:pPr>
      <w:r>
        <w:rPr>
          <w:bCs/>
          <w:szCs w:val="22"/>
          <w:lang w:val="en-AU"/>
        </w:rPr>
        <w:t>to locate a specific form, enter a specific form number, such as “HSE-175”, in the search bar, usually located towards the top of your screen</w:t>
      </w:r>
    </w:p>
    <w:p w14:paraId="745AFC34" w14:textId="74FCF1A6" w:rsidR="00A848EB" w:rsidRPr="00A848EB" w:rsidRDefault="00A848EB" w:rsidP="00A848EB">
      <w:pPr>
        <w:pStyle w:val="ListParagraph"/>
        <w:numPr>
          <w:ilvl w:val="0"/>
          <w:numId w:val="35"/>
        </w:numPr>
        <w:spacing w:line="276" w:lineRule="auto"/>
        <w:outlineLvl w:val="0"/>
        <w:rPr>
          <w:bCs/>
          <w:szCs w:val="22"/>
          <w:lang w:val="en-AU"/>
        </w:rPr>
      </w:pPr>
      <w:r>
        <w:rPr>
          <w:bCs/>
          <w:szCs w:val="22"/>
          <w:lang w:val="en-AU"/>
        </w:rPr>
        <w:t>the link to each form is often located on the far right of each screen; sometimes, you need to shift your cursor to the right to locate these links.</w:t>
      </w:r>
    </w:p>
    <w:p w14:paraId="618A4170" w14:textId="77777777" w:rsidR="00A848EB" w:rsidRPr="00AE5E0F" w:rsidRDefault="00A848EB" w:rsidP="00A848EB">
      <w:pPr>
        <w:spacing w:line="276" w:lineRule="auto"/>
        <w:outlineLvl w:val="0"/>
        <w:rPr>
          <w:b/>
          <w:szCs w:val="22"/>
          <w:lang w:val="en-AU"/>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05"/>
        <w:gridCol w:w="6096"/>
      </w:tblGrid>
      <w:tr w:rsidR="00A848EB" w:rsidRPr="00CC74F3" w14:paraId="5E19F840" w14:textId="77777777" w:rsidTr="00A848EB">
        <w:trPr>
          <w:trHeight w:val="373"/>
        </w:trPr>
        <w:tc>
          <w:tcPr>
            <w:tcW w:w="2805" w:type="dxa"/>
            <w:shd w:val="clear" w:color="auto" w:fill="C6EBD6" w:themeFill="accent5" w:themeFillTint="66"/>
          </w:tcPr>
          <w:p w14:paraId="25376462" w14:textId="77777777" w:rsidR="00A237CC" w:rsidRDefault="00A848EB" w:rsidP="00D2087B">
            <w:pPr>
              <w:spacing w:line="276" w:lineRule="auto"/>
              <w:jc w:val="center"/>
              <w:rPr>
                <w:rFonts w:cstheme="majorHAnsi"/>
                <w:lang w:val="en-AU" w:eastAsia="zh-TW"/>
              </w:rPr>
            </w:pPr>
            <w:r>
              <w:rPr>
                <w:rFonts w:cstheme="majorHAnsi"/>
                <w:lang w:val="en-AU" w:eastAsia="zh-TW"/>
              </w:rPr>
              <w:t>Form</w:t>
            </w:r>
            <w:r w:rsidR="00A237CC">
              <w:rPr>
                <w:rFonts w:cstheme="majorHAnsi"/>
                <w:lang w:val="en-AU" w:eastAsia="zh-TW"/>
              </w:rPr>
              <w:t>s</w:t>
            </w:r>
            <w:r>
              <w:rPr>
                <w:rFonts w:cstheme="majorHAnsi"/>
                <w:lang w:val="en-AU" w:eastAsia="zh-TW"/>
              </w:rPr>
              <w:t xml:space="preserve">, guidelines, </w:t>
            </w:r>
          </w:p>
          <w:p w14:paraId="0FFD4AEB" w14:textId="25255B97" w:rsidR="00A848EB" w:rsidRPr="00CC74F3" w:rsidRDefault="00A848EB" w:rsidP="00D2087B">
            <w:pPr>
              <w:spacing w:line="276" w:lineRule="auto"/>
              <w:jc w:val="center"/>
              <w:rPr>
                <w:rFonts w:cstheme="majorHAnsi"/>
                <w:lang w:val="en-AU" w:eastAsia="zh-TW"/>
              </w:rPr>
            </w:pPr>
            <w:r>
              <w:rPr>
                <w:rFonts w:cstheme="majorHAnsi"/>
                <w:lang w:val="en-AU" w:eastAsia="zh-TW"/>
              </w:rPr>
              <w:t>or procedures</w:t>
            </w:r>
          </w:p>
        </w:tc>
        <w:tc>
          <w:tcPr>
            <w:tcW w:w="6096" w:type="dxa"/>
            <w:shd w:val="clear" w:color="auto" w:fill="C6EBD6" w:themeFill="accent5" w:themeFillTint="66"/>
          </w:tcPr>
          <w:p w14:paraId="032FDC10" w14:textId="77777777" w:rsidR="00A848EB" w:rsidRPr="00CC74F3" w:rsidRDefault="00A848EB" w:rsidP="00D2087B">
            <w:pPr>
              <w:pStyle w:val="MHPBody"/>
              <w:jc w:val="center"/>
              <w:rPr>
                <w:rFonts w:asciiTheme="majorHAnsi" w:hAnsiTheme="majorHAnsi" w:cstheme="majorHAnsi"/>
                <w:szCs w:val="22"/>
              </w:rPr>
            </w:pPr>
            <w:r>
              <w:rPr>
                <w:rFonts w:asciiTheme="majorHAnsi" w:hAnsiTheme="majorHAnsi" w:cstheme="majorHAnsi"/>
                <w:szCs w:val="22"/>
              </w:rPr>
              <w:t>Read this form if…</w:t>
            </w:r>
          </w:p>
        </w:tc>
      </w:tr>
      <w:tr w:rsidR="00A848EB" w:rsidRPr="00CC74F3" w14:paraId="1A631B10" w14:textId="77777777" w:rsidTr="00A848EB">
        <w:trPr>
          <w:trHeight w:val="387"/>
        </w:trPr>
        <w:tc>
          <w:tcPr>
            <w:tcW w:w="2805" w:type="dxa"/>
            <w:shd w:val="clear" w:color="auto" w:fill="D9D9D9" w:themeFill="background1" w:themeFillShade="D9"/>
          </w:tcPr>
          <w:p w14:paraId="25559010" w14:textId="77777777" w:rsidR="00A848EB" w:rsidRPr="005A309D" w:rsidRDefault="00A848EB" w:rsidP="00D2087B">
            <w:pPr>
              <w:pStyle w:val="MHPBody"/>
              <w:rPr>
                <w:rFonts w:asciiTheme="majorHAnsi" w:hAnsiTheme="majorHAnsi" w:cstheme="majorHAnsi"/>
                <w:b/>
                <w:bCs/>
                <w:szCs w:val="22"/>
              </w:rPr>
            </w:pPr>
            <w:r>
              <w:rPr>
                <w:rFonts w:asciiTheme="majorHAnsi" w:hAnsiTheme="majorHAnsi" w:cstheme="majorHAnsi"/>
                <w:b/>
                <w:bCs/>
                <w:szCs w:val="22"/>
              </w:rPr>
              <w:t>Risky equipment or materials</w:t>
            </w:r>
          </w:p>
        </w:tc>
        <w:tc>
          <w:tcPr>
            <w:tcW w:w="6096" w:type="dxa"/>
            <w:shd w:val="clear" w:color="auto" w:fill="D9D9D9" w:themeFill="background1" w:themeFillShade="D9"/>
          </w:tcPr>
          <w:p w14:paraId="5E847400" w14:textId="77777777" w:rsidR="00A848EB" w:rsidRPr="00CC74F3" w:rsidRDefault="00A848EB" w:rsidP="00D2087B">
            <w:pPr>
              <w:pStyle w:val="MHPBody"/>
              <w:rPr>
                <w:rFonts w:asciiTheme="majorHAnsi" w:hAnsiTheme="majorHAnsi" w:cstheme="majorHAnsi"/>
                <w:szCs w:val="22"/>
              </w:rPr>
            </w:pPr>
          </w:p>
        </w:tc>
      </w:tr>
      <w:tr w:rsidR="00A848EB" w:rsidRPr="00CC74F3" w14:paraId="66AF2622" w14:textId="77777777" w:rsidTr="00A848EB">
        <w:trPr>
          <w:trHeight w:val="387"/>
        </w:trPr>
        <w:tc>
          <w:tcPr>
            <w:tcW w:w="2805" w:type="dxa"/>
            <w:shd w:val="clear" w:color="auto" w:fill="D9D9D9" w:themeFill="background1" w:themeFillShade="D9"/>
          </w:tcPr>
          <w:p w14:paraId="38A3E70B" w14:textId="00D1F76F"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HSE-067; HSE-052</w:t>
            </w:r>
          </w:p>
        </w:tc>
        <w:tc>
          <w:tcPr>
            <w:tcW w:w="6096" w:type="dxa"/>
            <w:shd w:val="clear" w:color="auto" w:fill="D9D9D9" w:themeFill="background1" w:themeFillShade="D9"/>
          </w:tcPr>
          <w:p w14:paraId="02E357E2"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 xml:space="preserve">working with machines or tools </w:t>
            </w:r>
          </w:p>
        </w:tc>
      </w:tr>
      <w:tr w:rsidR="00A848EB" w:rsidRPr="00CC74F3" w14:paraId="4838415A" w14:textId="77777777" w:rsidTr="00A848EB">
        <w:trPr>
          <w:trHeight w:val="387"/>
        </w:trPr>
        <w:tc>
          <w:tcPr>
            <w:tcW w:w="2805" w:type="dxa"/>
            <w:shd w:val="clear" w:color="auto" w:fill="D9D9D9" w:themeFill="background1" w:themeFillShade="D9"/>
          </w:tcPr>
          <w:p w14:paraId="6856C68F" w14:textId="77777777" w:rsidR="00A848EB" w:rsidRPr="00CC74F3" w:rsidRDefault="00A848EB" w:rsidP="00D2087B">
            <w:pPr>
              <w:pStyle w:val="MHPBody"/>
              <w:rPr>
                <w:rFonts w:asciiTheme="majorHAnsi" w:hAnsiTheme="majorHAnsi" w:cstheme="majorHAnsi"/>
                <w:szCs w:val="22"/>
              </w:rPr>
            </w:pPr>
            <w:r w:rsidRPr="00525F16">
              <w:rPr>
                <w:rFonts w:asciiTheme="majorHAnsi" w:hAnsiTheme="majorHAnsi" w:cstheme="majorHAnsi"/>
                <w:szCs w:val="22"/>
              </w:rPr>
              <w:t>HSE-</w:t>
            </w:r>
            <w:r>
              <w:rPr>
                <w:rFonts w:asciiTheme="majorHAnsi" w:hAnsiTheme="majorHAnsi" w:cstheme="majorHAnsi"/>
                <w:szCs w:val="22"/>
              </w:rPr>
              <w:t>063</w:t>
            </w:r>
          </w:p>
        </w:tc>
        <w:tc>
          <w:tcPr>
            <w:tcW w:w="6096" w:type="dxa"/>
            <w:shd w:val="clear" w:color="auto" w:fill="D9D9D9" w:themeFill="background1" w:themeFillShade="D9"/>
          </w:tcPr>
          <w:p w14:paraId="640C557B" w14:textId="77777777" w:rsidR="00A848EB" w:rsidRPr="00CC74F3" w:rsidRDefault="00A848EB" w:rsidP="00D2087B">
            <w:pPr>
              <w:pStyle w:val="MHPBody"/>
              <w:rPr>
                <w:rFonts w:asciiTheme="majorHAnsi" w:hAnsiTheme="majorHAnsi" w:cstheme="majorHAnsi"/>
                <w:szCs w:val="22"/>
              </w:rPr>
            </w:pPr>
            <w:r>
              <w:rPr>
                <w:rFonts w:asciiTheme="majorHAnsi" w:hAnsiTheme="majorHAnsi" w:cstheme="majorHAnsi"/>
                <w:szCs w:val="22"/>
              </w:rPr>
              <w:t>storing dangerous goods</w:t>
            </w:r>
          </w:p>
        </w:tc>
      </w:tr>
      <w:tr w:rsidR="00A848EB" w:rsidRPr="00CC74F3" w14:paraId="39F45BB3" w14:textId="77777777" w:rsidTr="00A848EB">
        <w:trPr>
          <w:trHeight w:val="387"/>
        </w:trPr>
        <w:tc>
          <w:tcPr>
            <w:tcW w:w="2805" w:type="dxa"/>
            <w:shd w:val="clear" w:color="auto" w:fill="D9D9D9" w:themeFill="background1" w:themeFillShade="D9"/>
          </w:tcPr>
          <w:p w14:paraId="312FE23A" w14:textId="77777777" w:rsidR="00A848EB" w:rsidRPr="00525F16" w:rsidRDefault="00A848EB" w:rsidP="00D2087B">
            <w:pPr>
              <w:pStyle w:val="MHPBody"/>
              <w:rPr>
                <w:rFonts w:asciiTheme="majorHAnsi" w:hAnsiTheme="majorHAnsi" w:cstheme="majorHAnsi"/>
                <w:szCs w:val="22"/>
              </w:rPr>
            </w:pPr>
            <w:r w:rsidRPr="00525F16">
              <w:rPr>
                <w:rFonts w:asciiTheme="majorHAnsi" w:hAnsiTheme="majorHAnsi" w:cstheme="majorHAnsi"/>
                <w:szCs w:val="22"/>
              </w:rPr>
              <w:t>HSE-</w:t>
            </w:r>
            <w:r>
              <w:rPr>
                <w:rFonts w:asciiTheme="majorHAnsi" w:hAnsiTheme="majorHAnsi" w:cstheme="majorHAnsi"/>
                <w:szCs w:val="22"/>
              </w:rPr>
              <w:t>064</w:t>
            </w:r>
          </w:p>
        </w:tc>
        <w:tc>
          <w:tcPr>
            <w:tcW w:w="6096" w:type="dxa"/>
            <w:shd w:val="clear" w:color="auto" w:fill="D9D9D9" w:themeFill="background1" w:themeFillShade="D9"/>
          </w:tcPr>
          <w:p w14:paraId="15069E52"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 xml:space="preserve">working with </w:t>
            </w:r>
            <w:r w:rsidRPr="00860D9B">
              <w:rPr>
                <w:rFonts w:asciiTheme="majorHAnsi" w:hAnsiTheme="majorHAnsi" w:cstheme="majorHAnsi"/>
                <w:szCs w:val="22"/>
              </w:rPr>
              <w:t xml:space="preserve">gas cylinders </w:t>
            </w:r>
            <w:r>
              <w:rPr>
                <w:rFonts w:asciiTheme="majorHAnsi" w:hAnsiTheme="majorHAnsi" w:cstheme="majorHAnsi"/>
                <w:szCs w:val="22"/>
              </w:rPr>
              <w:t>or</w:t>
            </w:r>
            <w:r w:rsidRPr="00860D9B">
              <w:rPr>
                <w:rFonts w:asciiTheme="majorHAnsi" w:hAnsiTheme="majorHAnsi" w:cstheme="majorHAnsi"/>
                <w:szCs w:val="22"/>
              </w:rPr>
              <w:t xml:space="preserve"> pressurised containers</w:t>
            </w:r>
          </w:p>
        </w:tc>
      </w:tr>
      <w:tr w:rsidR="00A848EB" w:rsidRPr="00CC74F3" w14:paraId="1970A774" w14:textId="77777777" w:rsidTr="00A848EB">
        <w:trPr>
          <w:trHeight w:val="387"/>
        </w:trPr>
        <w:tc>
          <w:tcPr>
            <w:tcW w:w="2805" w:type="dxa"/>
            <w:shd w:val="clear" w:color="auto" w:fill="D9D9D9" w:themeFill="background1" w:themeFillShade="D9"/>
          </w:tcPr>
          <w:p w14:paraId="6E6EA66F" w14:textId="77777777" w:rsidR="00A848EB" w:rsidRPr="00525F16" w:rsidRDefault="00A848EB" w:rsidP="00D2087B">
            <w:pPr>
              <w:pStyle w:val="MHPBody"/>
              <w:rPr>
                <w:rFonts w:asciiTheme="majorHAnsi" w:hAnsiTheme="majorHAnsi" w:cstheme="majorHAnsi"/>
                <w:szCs w:val="22"/>
              </w:rPr>
            </w:pPr>
            <w:r w:rsidRPr="00525F16">
              <w:rPr>
                <w:rFonts w:asciiTheme="majorHAnsi" w:hAnsiTheme="majorHAnsi" w:cstheme="majorHAnsi"/>
                <w:szCs w:val="22"/>
              </w:rPr>
              <w:t>HSE-</w:t>
            </w:r>
            <w:r>
              <w:rPr>
                <w:rFonts w:asciiTheme="majorHAnsi" w:hAnsiTheme="majorHAnsi" w:cstheme="majorHAnsi"/>
                <w:szCs w:val="22"/>
              </w:rPr>
              <w:t>066</w:t>
            </w:r>
          </w:p>
        </w:tc>
        <w:tc>
          <w:tcPr>
            <w:tcW w:w="6096" w:type="dxa"/>
            <w:shd w:val="clear" w:color="auto" w:fill="D9D9D9" w:themeFill="background1" w:themeFillShade="D9"/>
          </w:tcPr>
          <w:p w14:paraId="25F3EA4F"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working with hazardous chemicals</w:t>
            </w:r>
          </w:p>
        </w:tc>
      </w:tr>
      <w:tr w:rsidR="00A848EB" w:rsidRPr="00CC74F3" w14:paraId="187C2A4A" w14:textId="77777777" w:rsidTr="00A848EB">
        <w:trPr>
          <w:trHeight w:val="387"/>
        </w:trPr>
        <w:tc>
          <w:tcPr>
            <w:tcW w:w="2805" w:type="dxa"/>
            <w:shd w:val="clear" w:color="auto" w:fill="D9D9D9" w:themeFill="background1" w:themeFillShade="D9"/>
          </w:tcPr>
          <w:p w14:paraId="11D4BCF3" w14:textId="77777777" w:rsidR="00A848EB" w:rsidRPr="00525F16" w:rsidRDefault="00A848EB" w:rsidP="00D2087B">
            <w:pPr>
              <w:pStyle w:val="MHPBody"/>
              <w:rPr>
                <w:rFonts w:asciiTheme="majorHAnsi" w:hAnsiTheme="majorHAnsi" w:cstheme="majorHAnsi"/>
                <w:szCs w:val="22"/>
              </w:rPr>
            </w:pPr>
            <w:r w:rsidRPr="00BA5EC8">
              <w:rPr>
                <w:rFonts w:asciiTheme="majorHAnsi" w:hAnsiTheme="majorHAnsi" w:cstheme="majorHAnsi"/>
                <w:szCs w:val="22"/>
              </w:rPr>
              <w:t>HSE-101</w:t>
            </w:r>
          </w:p>
        </w:tc>
        <w:tc>
          <w:tcPr>
            <w:tcW w:w="6096" w:type="dxa"/>
            <w:shd w:val="clear" w:color="auto" w:fill="D9D9D9" w:themeFill="background1" w:themeFillShade="D9"/>
          </w:tcPr>
          <w:p w14:paraId="29616569"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working with drones</w:t>
            </w:r>
          </w:p>
        </w:tc>
      </w:tr>
      <w:tr w:rsidR="00A848EB" w:rsidRPr="00CC74F3" w14:paraId="4A978103" w14:textId="77777777" w:rsidTr="00A848EB">
        <w:trPr>
          <w:trHeight w:val="387"/>
        </w:trPr>
        <w:tc>
          <w:tcPr>
            <w:tcW w:w="2805" w:type="dxa"/>
            <w:shd w:val="clear" w:color="auto" w:fill="D9D9D9" w:themeFill="background1" w:themeFillShade="D9"/>
          </w:tcPr>
          <w:p w14:paraId="6E6F14BF" w14:textId="77777777" w:rsidR="00A848EB" w:rsidRPr="005A309D" w:rsidRDefault="00A848EB" w:rsidP="00D2087B">
            <w:pPr>
              <w:pStyle w:val="MHPBody"/>
              <w:rPr>
                <w:rFonts w:asciiTheme="majorHAnsi" w:hAnsiTheme="majorHAnsi" w:cstheme="majorHAnsi"/>
                <w:b/>
                <w:bCs/>
                <w:szCs w:val="22"/>
              </w:rPr>
            </w:pPr>
            <w:r>
              <w:rPr>
                <w:rFonts w:asciiTheme="majorHAnsi" w:hAnsiTheme="majorHAnsi" w:cstheme="majorHAnsi"/>
                <w:b/>
                <w:bCs/>
                <w:szCs w:val="22"/>
              </w:rPr>
              <w:t>Risky locations</w:t>
            </w:r>
          </w:p>
        </w:tc>
        <w:tc>
          <w:tcPr>
            <w:tcW w:w="6096" w:type="dxa"/>
            <w:shd w:val="clear" w:color="auto" w:fill="D9D9D9" w:themeFill="background1" w:themeFillShade="D9"/>
          </w:tcPr>
          <w:p w14:paraId="367BE89C" w14:textId="77777777" w:rsidR="00A848EB" w:rsidRDefault="00A848EB" w:rsidP="00D2087B">
            <w:pPr>
              <w:pStyle w:val="MHPBody"/>
              <w:rPr>
                <w:rFonts w:asciiTheme="majorHAnsi" w:hAnsiTheme="majorHAnsi" w:cstheme="majorHAnsi"/>
                <w:szCs w:val="22"/>
              </w:rPr>
            </w:pPr>
          </w:p>
        </w:tc>
      </w:tr>
      <w:tr w:rsidR="00A848EB" w:rsidRPr="00CC74F3" w14:paraId="231933F4" w14:textId="77777777" w:rsidTr="00A848EB">
        <w:trPr>
          <w:trHeight w:val="387"/>
        </w:trPr>
        <w:tc>
          <w:tcPr>
            <w:tcW w:w="2805" w:type="dxa"/>
            <w:shd w:val="clear" w:color="auto" w:fill="D9D9D9" w:themeFill="background1" w:themeFillShade="D9"/>
          </w:tcPr>
          <w:p w14:paraId="50D7BD44" w14:textId="232AF137" w:rsidR="00A848EB" w:rsidRPr="00525F16" w:rsidRDefault="00A848EB" w:rsidP="00D2087B">
            <w:pPr>
              <w:pStyle w:val="MHPBody"/>
              <w:rPr>
                <w:rFonts w:asciiTheme="majorHAnsi" w:hAnsiTheme="majorHAnsi" w:cstheme="majorHAnsi"/>
                <w:szCs w:val="22"/>
              </w:rPr>
            </w:pPr>
            <w:r w:rsidRPr="00525F16">
              <w:rPr>
                <w:rFonts w:asciiTheme="majorHAnsi" w:hAnsiTheme="majorHAnsi" w:cstheme="majorHAnsi"/>
                <w:szCs w:val="22"/>
              </w:rPr>
              <w:t>HSE-</w:t>
            </w:r>
            <w:r>
              <w:rPr>
                <w:rFonts w:asciiTheme="majorHAnsi" w:hAnsiTheme="majorHAnsi" w:cstheme="majorHAnsi"/>
                <w:szCs w:val="22"/>
              </w:rPr>
              <w:t>148; HSE-104; HSE-098; HSE-057</w:t>
            </w:r>
          </w:p>
        </w:tc>
        <w:tc>
          <w:tcPr>
            <w:tcW w:w="6096" w:type="dxa"/>
            <w:shd w:val="clear" w:color="auto" w:fill="D9D9D9" w:themeFill="background1" w:themeFillShade="D9"/>
          </w:tcPr>
          <w:p w14:paraId="7F84C226"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conducting fieldwork—typically, research that is conducted outside and some distance from a CDU campus</w:t>
            </w:r>
          </w:p>
        </w:tc>
      </w:tr>
      <w:tr w:rsidR="00A848EB" w:rsidRPr="00CC74F3" w14:paraId="59924706" w14:textId="77777777" w:rsidTr="00A848EB">
        <w:trPr>
          <w:trHeight w:val="387"/>
        </w:trPr>
        <w:tc>
          <w:tcPr>
            <w:tcW w:w="2805" w:type="dxa"/>
            <w:shd w:val="clear" w:color="auto" w:fill="D9D9D9" w:themeFill="background1" w:themeFillShade="D9"/>
          </w:tcPr>
          <w:p w14:paraId="18EACCC4" w14:textId="77777777"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HSE-095</w:t>
            </w:r>
          </w:p>
        </w:tc>
        <w:tc>
          <w:tcPr>
            <w:tcW w:w="6096" w:type="dxa"/>
            <w:shd w:val="clear" w:color="auto" w:fill="D9D9D9" w:themeFill="background1" w:themeFillShade="D9"/>
          </w:tcPr>
          <w:p w14:paraId="02BE4CBB"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conducting fieldwork overseas</w:t>
            </w:r>
          </w:p>
        </w:tc>
      </w:tr>
      <w:tr w:rsidR="00A848EB" w:rsidRPr="00CC74F3" w14:paraId="44844004" w14:textId="77777777" w:rsidTr="00A848EB">
        <w:trPr>
          <w:trHeight w:val="387"/>
        </w:trPr>
        <w:tc>
          <w:tcPr>
            <w:tcW w:w="2805" w:type="dxa"/>
            <w:shd w:val="clear" w:color="auto" w:fill="D9D9D9" w:themeFill="background1" w:themeFillShade="D9"/>
          </w:tcPr>
          <w:p w14:paraId="5BBB87A6" w14:textId="77777777" w:rsidR="00A848EB" w:rsidRDefault="00A848EB" w:rsidP="00D2087B">
            <w:pPr>
              <w:pStyle w:val="MHPBody"/>
              <w:rPr>
                <w:rFonts w:asciiTheme="majorHAnsi" w:hAnsiTheme="majorHAnsi" w:cstheme="majorHAnsi"/>
                <w:szCs w:val="22"/>
              </w:rPr>
            </w:pPr>
            <w:r w:rsidRPr="00BA5EC8">
              <w:rPr>
                <w:rFonts w:asciiTheme="majorHAnsi" w:hAnsiTheme="majorHAnsi" w:cstheme="majorHAnsi"/>
                <w:szCs w:val="22"/>
              </w:rPr>
              <w:t>HSE-029</w:t>
            </w:r>
          </w:p>
        </w:tc>
        <w:tc>
          <w:tcPr>
            <w:tcW w:w="6096" w:type="dxa"/>
            <w:shd w:val="clear" w:color="auto" w:fill="D9D9D9" w:themeFill="background1" w:themeFillShade="D9"/>
          </w:tcPr>
          <w:p w14:paraId="444FCD50"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working in very hot conditions</w:t>
            </w:r>
          </w:p>
        </w:tc>
      </w:tr>
      <w:tr w:rsidR="00A848EB" w:rsidRPr="00CC74F3" w14:paraId="7F61D81F" w14:textId="77777777" w:rsidTr="00A848EB">
        <w:trPr>
          <w:trHeight w:val="387"/>
        </w:trPr>
        <w:tc>
          <w:tcPr>
            <w:tcW w:w="2805" w:type="dxa"/>
            <w:shd w:val="clear" w:color="auto" w:fill="D9D9D9" w:themeFill="background1" w:themeFillShade="D9"/>
          </w:tcPr>
          <w:p w14:paraId="2098BE02" w14:textId="77777777"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HSE-098</w:t>
            </w:r>
          </w:p>
        </w:tc>
        <w:tc>
          <w:tcPr>
            <w:tcW w:w="6096" w:type="dxa"/>
            <w:shd w:val="clear" w:color="auto" w:fill="D9D9D9" w:themeFill="background1" w:themeFillShade="D9"/>
          </w:tcPr>
          <w:p w14:paraId="1EBE236D" w14:textId="74A5955D" w:rsidR="00A848EB" w:rsidRDefault="00A848EB" w:rsidP="00D2087B">
            <w:pPr>
              <w:pStyle w:val="MHPBody"/>
              <w:rPr>
                <w:rFonts w:asciiTheme="majorHAnsi" w:hAnsiTheme="majorHAnsi" w:cstheme="majorHAnsi"/>
                <w:szCs w:val="22"/>
              </w:rPr>
            </w:pPr>
            <w:r>
              <w:rPr>
                <w:rFonts w:asciiTheme="majorHAnsi" w:hAnsiTheme="majorHAnsi" w:cstheme="majorHAnsi"/>
                <w:szCs w:val="22"/>
              </w:rPr>
              <w:t>travelling in a vehicle to conduct research 50 km+ from campus</w:t>
            </w:r>
          </w:p>
        </w:tc>
      </w:tr>
      <w:tr w:rsidR="00A848EB" w:rsidRPr="00CC74F3" w14:paraId="078144EF" w14:textId="77777777" w:rsidTr="00A848EB">
        <w:trPr>
          <w:trHeight w:val="387"/>
        </w:trPr>
        <w:tc>
          <w:tcPr>
            <w:tcW w:w="2805" w:type="dxa"/>
            <w:shd w:val="clear" w:color="auto" w:fill="D9D9D9" w:themeFill="background1" w:themeFillShade="D9"/>
          </w:tcPr>
          <w:p w14:paraId="67AD210F" w14:textId="77777777"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HSE-099</w:t>
            </w:r>
          </w:p>
        </w:tc>
        <w:tc>
          <w:tcPr>
            <w:tcW w:w="6096" w:type="dxa"/>
            <w:shd w:val="clear" w:color="auto" w:fill="D9D9D9" w:themeFill="background1" w:themeFillShade="D9"/>
          </w:tcPr>
          <w:p w14:paraId="77DA29C4" w14:textId="102AF39E" w:rsidR="00A848EB" w:rsidRDefault="00A848EB" w:rsidP="00D2087B">
            <w:pPr>
              <w:pStyle w:val="MHPBody"/>
              <w:rPr>
                <w:rFonts w:asciiTheme="majorHAnsi" w:hAnsiTheme="majorHAnsi" w:cstheme="majorHAnsi"/>
                <w:szCs w:val="22"/>
              </w:rPr>
            </w:pPr>
            <w:r>
              <w:rPr>
                <w:rFonts w:asciiTheme="majorHAnsi" w:hAnsiTheme="majorHAnsi" w:cstheme="majorHAnsi"/>
                <w:szCs w:val="22"/>
              </w:rPr>
              <w:t>travelling with a trailer to conduct research 50 km+ from campus</w:t>
            </w:r>
          </w:p>
        </w:tc>
      </w:tr>
      <w:tr w:rsidR="00A848EB" w:rsidRPr="00CC74F3" w14:paraId="2E7FD6D5" w14:textId="77777777" w:rsidTr="00A848EB">
        <w:trPr>
          <w:trHeight w:val="387"/>
        </w:trPr>
        <w:tc>
          <w:tcPr>
            <w:tcW w:w="2805" w:type="dxa"/>
            <w:shd w:val="clear" w:color="auto" w:fill="D9D9D9" w:themeFill="background1" w:themeFillShade="D9"/>
          </w:tcPr>
          <w:p w14:paraId="053E3AB4" w14:textId="77777777" w:rsidR="00A848EB" w:rsidRPr="00525F16" w:rsidRDefault="00A848EB" w:rsidP="00D2087B">
            <w:pPr>
              <w:pStyle w:val="MHPBody"/>
              <w:rPr>
                <w:rFonts w:asciiTheme="majorHAnsi" w:hAnsiTheme="majorHAnsi" w:cstheme="majorHAnsi"/>
                <w:szCs w:val="22"/>
              </w:rPr>
            </w:pPr>
            <w:r w:rsidRPr="00525F16">
              <w:rPr>
                <w:rFonts w:asciiTheme="majorHAnsi" w:hAnsiTheme="majorHAnsi" w:cstheme="majorHAnsi"/>
                <w:szCs w:val="22"/>
              </w:rPr>
              <w:t>HSE-175</w:t>
            </w:r>
          </w:p>
        </w:tc>
        <w:tc>
          <w:tcPr>
            <w:tcW w:w="6096" w:type="dxa"/>
            <w:shd w:val="clear" w:color="auto" w:fill="D9D9D9" w:themeFill="background1" w:themeFillShade="D9"/>
          </w:tcPr>
          <w:p w14:paraId="3F5EAF82"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working in locations that could be slippery</w:t>
            </w:r>
          </w:p>
        </w:tc>
      </w:tr>
      <w:tr w:rsidR="00A848EB" w:rsidRPr="00CC74F3" w14:paraId="476CFD5F" w14:textId="77777777" w:rsidTr="00A848EB">
        <w:trPr>
          <w:trHeight w:val="387"/>
        </w:trPr>
        <w:tc>
          <w:tcPr>
            <w:tcW w:w="2805" w:type="dxa"/>
            <w:shd w:val="clear" w:color="auto" w:fill="D9D9D9" w:themeFill="background1" w:themeFillShade="D9"/>
          </w:tcPr>
          <w:p w14:paraId="79618397" w14:textId="77777777"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HSE-020</w:t>
            </w:r>
          </w:p>
        </w:tc>
        <w:tc>
          <w:tcPr>
            <w:tcW w:w="6096" w:type="dxa"/>
            <w:shd w:val="clear" w:color="auto" w:fill="D9D9D9" w:themeFill="background1" w:themeFillShade="D9"/>
          </w:tcPr>
          <w:p w14:paraId="2D022C5F"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working in locations that are especially noisy, such as loud drilling</w:t>
            </w:r>
          </w:p>
        </w:tc>
      </w:tr>
      <w:tr w:rsidR="00A848EB" w:rsidRPr="00CC74F3" w14:paraId="2E5B2E96" w14:textId="77777777" w:rsidTr="00A848EB">
        <w:trPr>
          <w:trHeight w:val="387"/>
        </w:trPr>
        <w:tc>
          <w:tcPr>
            <w:tcW w:w="2805" w:type="dxa"/>
            <w:shd w:val="clear" w:color="auto" w:fill="D9D9D9" w:themeFill="background1" w:themeFillShade="D9"/>
          </w:tcPr>
          <w:p w14:paraId="3B40FC94" w14:textId="77777777" w:rsidR="00A848EB" w:rsidRPr="00A27DA7" w:rsidRDefault="00A848EB" w:rsidP="00D2087B">
            <w:pPr>
              <w:pStyle w:val="MHPBody"/>
              <w:rPr>
                <w:rFonts w:asciiTheme="majorHAnsi" w:hAnsiTheme="majorHAnsi" w:cstheme="majorHAnsi"/>
                <w:b/>
                <w:bCs/>
                <w:szCs w:val="22"/>
              </w:rPr>
            </w:pPr>
            <w:r>
              <w:rPr>
                <w:rFonts w:asciiTheme="majorHAnsi" w:hAnsiTheme="majorHAnsi" w:cstheme="majorHAnsi"/>
                <w:b/>
                <w:bCs/>
                <w:szCs w:val="22"/>
              </w:rPr>
              <w:t>Other risks</w:t>
            </w:r>
          </w:p>
        </w:tc>
        <w:tc>
          <w:tcPr>
            <w:tcW w:w="6096" w:type="dxa"/>
            <w:shd w:val="clear" w:color="auto" w:fill="D9D9D9" w:themeFill="background1" w:themeFillShade="D9"/>
          </w:tcPr>
          <w:p w14:paraId="47269627" w14:textId="77777777" w:rsidR="00A848EB" w:rsidRDefault="00A848EB" w:rsidP="00D2087B">
            <w:pPr>
              <w:pStyle w:val="MHPBody"/>
              <w:rPr>
                <w:rFonts w:asciiTheme="majorHAnsi" w:hAnsiTheme="majorHAnsi" w:cstheme="majorHAnsi"/>
                <w:szCs w:val="22"/>
              </w:rPr>
            </w:pPr>
          </w:p>
        </w:tc>
      </w:tr>
      <w:tr w:rsidR="00A848EB" w:rsidRPr="00CC74F3" w14:paraId="5C6D120F" w14:textId="77777777" w:rsidTr="00A848EB">
        <w:trPr>
          <w:trHeight w:val="387"/>
        </w:trPr>
        <w:tc>
          <w:tcPr>
            <w:tcW w:w="2805" w:type="dxa"/>
            <w:shd w:val="clear" w:color="auto" w:fill="D9D9D9" w:themeFill="background1" w:themeFillShade="D9"/>
          </w:tcPr>
          <w:p w14:paraId="3A22DC86" w14:textId="6E998F08"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HSE-39; HSE-149</w:t>
            </w:r>
          </w:p>
        </w:tc>
        <w:tc>
          <w:tcPr>
            <w:tcW w:w="6096" w:type="dxa"/>
            <w:shd w:val="clear" w:color="auto" w:fill="D9D9D9" w:themeFill="background1" w:themeFillShade="D9"/>
          </w:tcPr>
          <w:p w14:paraId="6672C7EF" w14:textId="63F1962C" w:rsidR="00A848EB" w:rsidRDefault="00A848EB" w:rsidP="00D2087B">
            <w:pPr>
              <w:pStyle w:val="MHPBody"/>
              <w:rPr>
                <w:rFonts w:asciiTheme="majorHAnsi" w:hAnsiTheme="majorHAnsi" w:cstheme="majorHAnsi"/>
                <w:szCs w:val="22"/>
              </w:rPr>
            </w:pPr>
            <w:r>
              <w:rPr>
                <w:rFonts w:asciiTheme="majorHAnsi" w:hAnsiTheme="majorHAnsi" w:cstheme="majorHAnsi"/>
                <w:szCs w:val="22"/>
              </w:rPr>
              <w:t>working long hour in which sleep might be significantly disrupted</w:t>
            </w:r>
          </w:p>
        </w:tc>
      </w:tr>
      <w:tr w:rsidR="00A848EB" w:rsidRPr="00CC74F3" w14:paraId="195394C6" w14:textId="77777777" w:rsidTr="00A848EB">
        <w:trPr>
          <w:trHeight w:val="387"/>
        </w:trPr>
        <w:tc>
          <w:tcPr>
            <w:tcW w:w="2805" w:type="dxa"/>
            <w:shd w:val="clear" w:color="auto" w:fill="D9D9D9" w:themeFill="background1" w:themeFillShade="D9"/>
          </w:tcPr>
          <w:p w14:paraId="5F5ABB6A" w14:textId="77777777" w:rsidR="00A848EB" w:rsidRPr="005A309D" w:rsidRDefault="00A848EB" w:rsidP="00D2087B">
            <w:pPr>
              <w:pStyle w:val="MHPBody"/>
              <w:rPr>
                <w:rFonts w:asciiTheme="majorHAnsi" w:hAnsiTheme="majorHAnsi" w:cstheme="majorHAnsi"/>
                <w:b/>
                <w:bCs/>
                <w:szCs w:val="22"/>
              </w:rPr>
            </w:pPr>
            <w:r>
              <w:rPr>
                <w:rFonts w:asciiTheme="majorHAnsi" w:hAnsiTheme="majorHAnsi" w:cstheme="majorHAnsi"/>
                <w:b/>
                <w:bCs/>
                <w:szCs w:val="22"/>
              </w:rPr>
              <w:t>Reporting</w:t>
            </w:r>
          </w:p>
        </w:tc>
        <w:tc>
          <w:tcPr>
            <w:tcW w:w="6096" w:type="dxa"/>
            <w:shd w:val="clear" w:color="auto" w:fill="D9D9D9" w:themeFill="background1" w:themeFillShade="D9"/>
          </w:tcPr>
          <w:p w14:paraId="36D4B5EA" w14:textId="77777777" w:rsidR="00A848EB" w:rsidRDefault="00A848EB" w:rsidP="00D2087B">
            <w:pPr>
              <w:pStyle w:val="MHPBody"/>
              <w:rPr>
                <w:rFonts w:asciiTheme="majorHAnsi" w:hAnsiTheme="majorHAnsi" w:cstheme="majorHAnsi"/>
                <w:szCs w:val="22"/>
              </w:rPr>
            </w:pPr>
          </w:p>
        </w:tc>
      </w:tr>
      <w:tr w:rsidR="00A848EB" w:rsidRPr="00CC74F3" w14:paraId="0B1BA064" w14:textId="77777777" w:rsidTr="00A848EB">
        <w:trPr>
          <w:trHeight w:val="387"/>
        </w:trPr>
        <w:tc>
          <w:tcPr>
            <w:tcW w:w="2805" w:type="dxa"/>
            <w:shd w:val="clear" w:color="auto" w:fill="D9D9D9" w:themeFill="background1" w:themeFillShade="D9"/>
          </w:tcPr>
          <w:p w14:paraId="367F1D56" w14:textId="77777777"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t>HSE-082</w:t>
            </w:r>
          </w:p>
        </w:tc>
        <w:tc>
          <w:tcPr>
            <w:tcW w:w="6096" w:type="dxa"/>
            <w:shd w:val="clear" w:color="auto" w:fill="D9D9D9" w:themeFill="background1" w:themeFillShade="D9"/>
          </w:tcPr>
          <w:p w14:paraId="459548EE"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you need to report a potential hazard</w:t>
            </w:r>
          </w:p>
        </w:tc>
      </w:tr>
      <w:tr w:rsidR="00A848EB" w:rsidRPr="00CC74F3" w14:paraId="3F64F0DD" w14:textId="77777777" w:rsidTr="00A848EB">
        <w:trPr>
          <w:trHeight w:val="387"/>
        </w:trPr>
        <w:tc>
          <w:tcPr>
            <w:tcW w:w="2805" w:type="dxa"/>
            <w:shd w:val="clear" w:color="auto" w:fill="D9D9D9" w:themeFill="background1" w:themeFillShade="D9"/>
          </w:tcPr>
          <w:p w14:paraId="3DE4CC35" w14:textId="77777777" w:rsidR="00A848EB" w:rsidRPr="00525F16" w:rsidRDefault="00A848EB" w:rsidP="00D2087B">
            <w:pPr>
              <w:pStyle w:val="MHPBody"/>
              <w:rPr>
                <w:rFonts w:asciiTheme="majorHAnsi" w:hAnsiTheme="majorHAnsi" w:cstheme="majorHAnsi"/>
                <w:szCs w:val="22"/>
              </w:rPr>
            </w:pPr>
            <w:r>
              <w:rPr>
                <w:rFonts w:asciiTheme="majorHAnsi" w:hAnsiTheme="majorHAnsi" w:cstheme="majorHAnsi"/>
                <w:szCs w:val="22"/>
              </w:rPr>
              <w:lastRenderedPageBreak/>
              <w:t>HSE-076</w:t>
            </w:r>
          </w:p>
        </w:tc>
        <w:tc>
          <w:tcPr>
            <w:tcW w:w="6096" w:type="dxa"/>
            <w:shd w:val="clear" w:color="auto" w:fill="D9D9D9" w:themeFill="background1" w:themeFillShade="D9"/>
          </w:tcPr>
          <w:p w14:paraId="0D7AE9B8"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you need to report an actual injury, incident, or accident</w:t>
            </w:r>
          </w:p>
        </w:tc>
      </w:tr>
      <w:tr w:rsidR="00A848EB" w:rsidRPr="00CC74F3" w14:paraId="2BA31335" w14:textId="77777777" w:rsidTr="00A848EB">
        <w:trPr>
          <w:trHeight w:val="387"/>
        </w:trPr>
        <w:tc>
          <w:tcPr>
            <w:tcW w:w="2805" w:type="dxa"/>
            <w:shd w:val="clear" w:color="auto" w:fill="D9D9D9" w:themeFill="background1" w:themeFillShade="D9"/>
          </w:tcPr>
          <w:p w14:paraId="1E7930E5"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HSE-077</w:t>
            </w:r>
          </w:p>
        </w:tc>
        <w:tc>
          <w:tcPr>
            <w:tcW w:w="6096" w:type="dxa"/>
            <w:shd w:val="clear" w:color="auto" w:fill="D9D9D9" w:themeFill="background1" w:themeFillShade="D9"/>
          </w:tcPr>
          <w:p w14:paraId="2A55762B"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you need to report a behavioural incident, such as an assault</w:t>
            </w:r>
          </w:p>
        </w:tc>
      </w:tr>
      <w:tr w:rsidR="00A848EB" w:rsidRPr="00CC74F3" w14:paraId="097A2EB0" w14:textId="77777777" w:rsidTr="00A848EB">
        <w:trPr>
          <w:trHeight w:val="387"/>
        </w:trPr>
        <w:tc>
          <w:tcPr>
            <w:tcW w:w="2805" w:type="dxa"/>
            <w:shd w:val="clear" w:color="auto" w:fill="D9D9D9" w:themeFill="background1" w:themeFillShade="D9"/>
          </w:tcPr>
          <w:p w14:paraId="2A24ABF3"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HSE-078</w:t>
            </w:r>
          </w:p>
        </w:tc>
        <w:tc>
          <w:tcPr>
            <w:tcW w:w="6096" w:type="dxa"/>
            <w:shd w:val="clear" w:color="auto" w:fill="D9D9D9" w:themeFill="background1" w:themeFillShade="D9"/>
          </w:tcPr>
          <w:p w14:paraId="5BE55EFE" w14:textId="77777777" w:rsidR="00A848EB" w:rsidRDefault="00A848EB" w:rsidP="00D2087B">
            <w:pPr>
              <w:pStyle w:val="MHPBody"/>
              <w:rPr>
                <w:rFonts w:asciiTheme="majorHAnsi" w:hAnsiTheme="majorHAnsi" w:cstheme="majorHAnsi"/>
                <w:szCs w:val="22"/>
              </w:rPr>
            </w:pPr>
            <w:r>
              <w:rPr>
                <w:rFonts w:asciiTheme="majorHAnsi" w:hAnsiTheme="majorHAnsi" w:cstheme="majorHAnsi"/>
                <w:szCs w:val="22"/>
              </w:rPr>
              <w:t>you want to record the observations of a witness to an incident</w:t>
            </w:r>
          </w:p>
        </w:tc>
      </w:tr>
      <w:tr w:rsidR="00A848EB" w:rsidRPr="00CC74F3" w14:paraId="47AD06E5" w14:textId="77777777" w:rsidTr="00A848EB">
        <w:trPr>
          <w:trHeight w:val="387"/>
        </w:trPr>
        <w:tc>
          <w:tcPr>
            <w:tcW w:w="2805" w:type="dxa"/>
            <w:shd w:val="clear" w:color="auto" w:fill="D9D9D9" w:themeFill="background1" w:themeFillShade="D9"/>
          </w:tcPr>
          <w:p w14:paraId="2F5DC572" w14:textId="77777777" w:rsidR="00A848EB" w:rsidRPr="00883163" w:rsidRDefault="00A848EB" w:rsidP="00D2087B">
            <w:pPr>
              <w:pStyle w:val="MHPBody"/>
              <w:rPr>
                <w:rFonts w:asciiTheme="majorHAnsi" w:hAnsiTheme="majorHAnsi" w:cstheme="majorHAnsi"/>
                <w:b/>
                <w:bCs/>
                <w:szCs w:val="22"/>
              </w:rPr>
            </w:pPr>
            <w:r w:rsidRPr="00883163">
              <w:rPr>
                <w:rFonts w:asciiTheme="majorHAnsi" w:hAnsiTheme="majorHAnsi" w:cstheme="majorHAnsi"/>
                <w:b/>
                <w:bCs/>
                <w:szCs w:val="22"/>
              </w:rPr>
              <w:t>HSE-113</w:t>
            </w:r>
          </w:p>
        </w:tc>
        <w:tc>
          <w:tcPr>
            <w:tcW w:w="6096" w:type="dxa"/>
            <w:shd w:val="clear" w:color="auto" w:fill="D9D9D9" w:themeFill="background1" w:themeFillShade="D9"/>
          </w:tcPr>
          <w:p w14:paraId="3B6C6009" w14:textId="77777777" w:rsidR="00A848EB" w:rsidRPr="00883163" w:rsidRDefault="00A848EB" w:rsidP="00D2087B">
            <w:pPr>
              <w:pStyle w:val="MHPBody"/>
              <w:rPr>
                <w:rFonts w:asciiTheme="majorHAnsi" w:hAnsiTheme="majorHAnsi" w:cstheme="majorHAnsi"/>
                <w:b/>
                <w:bCs/>
                <w:szCs w:val="22"/>
              </w:rPr>
            </w:pPr>
            <w:r w:rsidRPr="00883163">
              <w:rPr>
                <w:rFonts w:asciiTheme="majorHAnsi" w:hAnsiTheme="majorHAnsi" w:cstheme="majorHAnsi"/>
                <w:b/>
                <w:bCs/>
                <w:szCs w:val="22"/>
              </w:rPr>
              <w:t>you want to contact the right person</w:t>
            </w:r>
          </w:p>
        </w:tc>
      </w:tr>
    </w:tbl>
    <w:p w14:paraId="53EE5FEC" w14:textId="6FA94BD2" w:rsidR="00A848EB" w:rsidRDefault="00A848EB" w:rsidP="00A848EB">
      <w:pPr>
        <w:spacing w:line="276" w:lineRule="auto"/>
        <w:outlineLvl w:val="0"/>
        <w:rPr>
          <w:bCs/>
          <w:szCs w:val="22"/>
          <w:lang w:val="en-AU"/>
        </w:rPr>
      </w:pPr>
    </w:p>
    <w:p w14:paraId="4CCEB505" w14:textId="561E8EC2" w:rsidR="00010DA4" w:rsidRDefault="00A237CC" w:rsidP="00A848EB">
      <w:pPr>
        <w:spacing w:line="276" w:lineRule="auto"/>
        <w:outlineLvl w:val="0"/>
        <w:rPr>
          <w:bCs/>
          <w:szCs w:val="22"/>
          <w:lang w:val="en-AU"/>
        </w:rPr>
      </w:pPr>
      <w:r>
        <w:rPr>
          <w:bCs/>
          <w:szCs w:val="22"/>
          <w:lang w:val="en-AU"/>
        </w:rPr>
        <w:t xml:space="preserve">If </w:t>
      </w:r>
      <w:r w:rsidR="004F4508">
        <w:rPr>
          <w:bCs/>
          <w:szCs w:val="22"/>
          <w:lang w:val="en-AU"/>
        </w:rPr>
        <w:t xml:space="preserve">unsure how to support candidates in particular circumstances, you may need to consult the relevant policy or procedures in the CDU governance library.  </w:t>
      </w:r>
      <w:r w:rsidR="00566923">
        <w:rPr>
          <w:bCs/>
          <w:szCs w:val="22"/>
          <w:lang w:val="en-AU"/>
        </w:rPr>
        <w:t>To locate these policies or procedures</w:t>
      </w:r>
    </w:p>
    <w:p w14:paraId="6D578F33" w14:textId="531D98DA" w:rsidR="00566923" w:rsidRDefault="00566923" w:rsidP="00A848EB">
      <w:pPr>
        <w:spacing w:line="276" w:lineRule="auto"/>
        <w:outlineLvl w:val="0"/>
        <w:rPr>
          <w:bCs/>
          <w:szCs w:val="22"/>
          <w:lang w:val="en-AU"/>
        </w:rPr>
      </w:pPr>
    </w:p>
    <w:p w14:paraId="317DD0D1" w14:textId="6D646FE1" w:rsidR="00566923" w:rsidRDefault="00566923" w:rsidP="00566923">
      <w:pPr>
        <w:pStyle w:val="ListParagraph"/>
        <w:numPr>
          <w:ilvl w:val="0"/>
          <w:numId w:val="36"/>
        </w:numPr>
        <w:spacing w:line="276" w:lineRule="auto"/>
        <w:outlineLvl w:val="0"/>
        <w:rPr>
          <w:bCs/>
          <w:szCs w:val="22"/>
          <w:lang w:val="en-AU"/>
        </w:rPr>
      </w:pPr>
      <w:r>
        <w:rPr>
          <w:bCs/>
          <w:szCs w:val="22"/>
          <w:lang w:val="en-AU"/>
        </w:rPr>
        <w:t xml:space="preserve">visit </w:t>
      </w:r>
      <w:hyperlink r:id="rId8" w:history="1">
        <w:r w:rsidRPr="00E65F6C">
          <w:rPr>
            <w:rStyle w:val="Hyperlink"/>
            <w:bCs/>
            <w:sz w:val="22"/>
            <w:szCs w:val="22"/>
            <w:lang w:val="en-AU"/>
          </w:rPr>
          <w:t>https://policies.cdu.edu.au/</w:t>
        </w:r>
      </w:hyperlink>
    </w:p>
    <w:p w14:paraId="10C0B67F" w14:textId="364238F2" w:rsidR="00566923" w:rsidRDefault="00566923" w:rsidP="00566923">
      <w:pPr>
        <w:pStyle w:val="ListParagraph"/>
        <w:numPr>
          <w:ilvl w:val="0"/>
          <w:numId w:val="36"/>
        </w:numPr>
        <w:spacing w:line="276" w:lineRule="auto"/>
        <w:outlineLvl w:val="0"/>
        <w:rPr>
          <w:bCs/>
          <w:szCs w:val="22"/>
          <w:lang w:val="en-AU"/>
        </w:rPr>
      </w:pPr>
      <w:r>
        <w:rPr>
          <w:bCs/>
          <w:szCs w:val="22"/>
          <w:lang w:val="en-AU"/>
        </w:rPr>
        <w:t>press Browse A-Z</w:t>
      </w:r>
    </w:p>
    <w:p w14:paraId="258F6160" w14:textId="2727E6ED" w:rsidR="00566923" w:rsidRDefault="00566923" w:rsidP="00566923">
      <w:pPr>
        <w:pStyle w:val="ListParagraph"/>
        <w:numPr>
          <w:ilvl w:val="0"/>
          <w:numId w:val="36"/>
        </w:numPr>
        <w:spacing w:line="276" w:lineRule="auto"/>
        <w:outlineLvl w:val="0"/>
        <w:rPr>
          <w:bCs/>
          <w:szCs w:val="22"/>
          <w:lang w:val="en-AU"/>
        </w:rPr>
      </w:pPr>
      <w:r>
        <w:rPr>
          <w:bCs/>
          <w:szCs w:val="22"/>
          <w:lang w:val="en-AU"/>
        </w:rPr>
        <w:t xml:space="preserve">then scroll down to locate the relevant policy in the following table. </w:t>
      </w:r>
    </w:p>
    <w:p w14:paraId="40D2CE57" w14:textId="6990EE80" w:rsidR="00566923" w:rsidRDefault="00566923" w:rsidP="00566923">
      <w:pPr>
        <w:spacing w:line="276" w:lineRule="auto"/>
        <w:outlineLvl w:val="0"/>
        <w:rPr>
          <w:bCs/>
          <w:szCs w:val="22"/>
          <w:lang w:val="en-AU"/>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798"/>
        <w:gridCol w:w="5103"/>
      </w:tblGrid>
      <w:tr w:rsidR="00566923" w:rsidRPr="00CC74F3" w14:paraId="52C82FE2" w14:textId="77777777" w:rsidTr="00566923">
        <w:trPr>
          <w:trHeight w:val="373"/>
        </w:trPr>
        <w:tc>
          <w:tcPr>
            <w:tcW w:w="3798" w:type="dxa"/>
            <w:shd w:val="clear" w:color="auto" w:fill="C6EBD6" w:themeFill="accent5" w:themeFillTint="66"/>
          </w:tcPr>
          <w:p w14:paraId="28051F4A" w14:textId="3D7E5815" w:rsidR="00566923" w:rsidRPr="00CC74F3" w:rsidRDefault="00566923" w:rsidP="00D2087B">
            <w:pPr>
              <w:spacing w:line="276" w:lineRule="auto"/>
              <w:jc w:val="center"/>
              <w:rPr>
                <w:rFonts w:cstheme="majorHAnsi"/>
                <w:lang w:val="en-AU" w:eastAsia="zh-TW"/>
              </w:rPr>
            </w:pPr>
            <w:r>
              <w:rPr>
                <w:rFonts w:cstheme="majorHAnsi"/>
                <w:lang w:val="en-AU" w:eastAsia="zh-TW"/>
              </w:rPr>
              <w:t>Circumstance</w:t>
            </w:r>
          </w:p>
        </w:tc>
        <w:tc>
          <w:tcPr>
            <w:tcW w:w="5103" w:type="dxa"/>
            <w:shd w:val="clear" w:color="auto" w:fill="C6EBD6" w:themeFill="accent5" w:themeFillTint="66"/>
          </w:tcPr>
          <w:p w14:paraId="678E2256" w14:textId="0E7A0B4F" w:rsidR="00566923" w:rsidRPr="00CC74F3" w:rsidRDefault="00566923" w:rsidP="00D2087B">
            <w:pPr>
              <w:pStyle w:val="MHPBody"/>
              <w:jc w:val="center"/>
              <w:rPr>
                <w:rFonts w:asciiTheme="majorHAnsi" w:hAnsiTheme="majorHAnsi" w:cstheme="majorHAnsi"/>
                <w:szCs w:val="22"/>
              </w:rPr>
            </w:pPr>
            <w:r>
              <w:rPr>
                <w:rFonts w:asciiTheme="majorHAnsi" w:hAnsiTheme="majorHAnsi" w:cstheme="majorHAnsi"/>
                <w:szCs w:val="22"/>
              </w:rPr>
              <w:t>Relevant policy or procedure</w:t>
            </w:r>
          </w:p>
        </w:tc>
      </w:tr>
      <w:tr w:rsidR="00566923" w14:paraId="6C24B9C2" w14:textId="77777777" w:rsidTr="00566923">
        <w:trPr>
          <w:trHeight w:val="387"/>
        </w:trPr>
        <w:tc>
          <w:tcPr>
            <w:tcW w:w="3798" w:type="dxa"/>
            <w:shd w:val="clear" w:color="auto" w:fill="D9D9D9" w:themeFill="background1" w:themeFillShade="D9"/>
          </w:tcPr>
          <w:p w14:paraId="228DE93C" w14:textId="124AACD6" w:rsidR="00566923" w:rsidRDefault="008A6FEB" w:rsidP="00D2087B">
            <w:pPr>
              <w:pStyle w:val="MHPBody"/>
              <w:rPr>
                <w:rFonts w:asciiTheme="majorHAnsi" w:hAnsiTheme="majorHAnsi" w:cstheme="majorHAnsi"/>
                <w:szCs w:val="22"/>
              </w:rPr>
            </w:pPr>
            <w:r>
              <w:rPr>
                <w:rFonts w:asciiTheme="majorHAnsi" w:hAnsiTheme="majorHAnsi" w:cstheme="majorHAnsi"/>
                <w:szCs w:val="22"/>
              </w:rPr>
              <w:t>You w</w:t>
            </w:r>
            <w:r w:rsidR="00566923">
              <w:rPr>
                <w:rFonts w:asciiTheme="majorHAnsi" w:hAnsiTheme="majorHAnsi" w:cstheme="majorHAnsi"/>
                <w:szCs w:val="22"/>
              </w:rPr>
              <w:t>ant to learn more about safety</w:t>
            </w:r>
          </w:p>
        </w:tc>
        <w:tc>
          <w:tcPr>
            <w:tcW w:w="5103" w:type="dxa"/>
            <w:shd w:val="clear" w:color="auto" w:fill="D9D9D9" w:themeFill="background1" w:themeFillShade="D9"/>
          </w:tcPr>
          <w:p w14:paraId="39397405" w14:textId="2A442FE2" w:rsidR="00566923" w:rsidRP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Work Health and Safety Policy</w:t>
            </w:r>
          </w:p>
        </w:tc>
      </w:tr>
      <w:tr w:rsidR="00566923" w14:paraId="31DBCC6C" w14:textId="77777777" w:rsidTr="00566923">
        <w:trPr>
          <w:trHeight w:val="387"/>
        </w:trPr>
        <w:tc>
          <w:tcPr>
            <w:tcW w:w="3798" w:type="dxa"/>
            <w:shd w:val="clear" w:color="auto" w:fill="D9D9D9" w:themeFill="background1" w:themeFillShade="D9"/>
          </w:tcPr>
          <w:p w14:paraId="2E0F10FB" w14:textId="2180494F" w:rsidR="00566923" w:rsidRPr="00525F16" w:rsidRDefault="008A6FEB" w:rsidP="00D2087B">
            <w:pPr>
              <w:pStyle w:val="MHPBody"/>
              <w:rPr>
                <w:rFonts w:asciiTheme="majorHAnsi" w:hAnsiTheme="majorHAnsi" w:cstheme="majorHAnsi"/>
                <w:szCs w:val="22"/>
              </w:rPr>
            </w:pPr>
            <w:r>
              <w:rPr>
                <w:rFonts w:asciiTheme="majorHAnsi" w:hAnsiTheme="majorHAnsi" w:cstheme="majorHAnsi"/>
                <w:szCs w:val="22"/>
              </w:rPr>
              <w:t>You need to</w:t>
            </w:r>
            <w:r w:rsidR="00566923">
              <w:rPr>
                <w:rFonts w:asciiTheme="majorHAnsi" w:hAnsiTheme="majorHAnsi" w:cstheme="majorHAnsi"/>
                <w:szCs w:val="22"/>
              </w:rPr>
              <w:t xml:space="preserve"> respon</w:t>
            </w:r>
            <w:r>
              <w:rPr>
                <w:rFonts w:asciiTheme="majorHAnsi" w:hAnsiTheme="majorHAnsi" w:cstheme="majorHAnsi"/>
                <w:szCs w:val="22"/>
              </w:rPr>
              <w:t>d</w:t>
            </w:r>
            <w:r w:rsidR="00566923">
              <w:rPr>
                <w:rFonts w:asciiTheme="majorHAnsi" w:hAnsiTheme="majorHAnsi" w:cstheme="majorHAnsi"/>
                <w:szCs w:val="22"/>
              </w:rPr>
              <w:t xml:space="preserve"> to an incident</w:t>
            </w:r>
          </w:p>
        </w:tc>
        <w:tc>
          <w:tcPr>
            <w:tcW w:w="5103" w:type="dxa"/>
            <w:shd w:val="clear" w:color="auto" w:fill="D9D9D9" w:themeFill="background1" w:themeFillShade="D9"/>
          </w:tcPr>
          <w:p w14:paraId="79CE361E" w14:textId="77777777" w:rsid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Critical Incident Policy</w:t>
            </w:r>
          </w:p>
          <w:p w14:paraId="76FF2005" w14:textId="77777777" w:rsid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Emergency Management Procedure</w:t>
            </w:r>
          </w:p>
          <w:p w14:paraId="347C5B39" w14:textId="77777777" w:rsid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International Students - Critical Incident Procedures</w:t>
            </w:r>
          </w:p>
          <w:p w14:paraId="130B417B" w14:textId="21C479D8" w:rsid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WHS Incident and Investigation Procedure</w:t>
            </w:r>
          </w:p>
        </w:tc>
      </w:tr>
      <w:tr w:rsidR="00566923" w14:paraId="65647349" w14:textId="77777777" w:rsidTr="00566923">
        <w:trPr>
          <w:trHeight w:val="387"/>
        </w:trPr>
        <w:tc>
          <w:tcPr>
            <w:tcW w:w="3798" w:type="dxa"/>
            <w:shd w:val="clear" w:color="auto" w:fill="D9D9D9" w:themeFill="background1" w:themeFillShade="D9"/>
          </w:tcPr>
          <w:p w14:paraId="1079C5EA" w14:textId="7441AB93" w:rsidR="00566923" w:rsidRDefault="008A6FEB" w:rsidP="00D2087B">
            <w:pPr>
              <w:pStyle w:val="MHPBody"/>
              <w:rPr>
                <w:rFonts w:asciiTheme="majorHAnsi" w:hAnsiTheme="majorHAnsi" w:cstheme="majorHAnsi"/>
                <w:szCs w:val="22"/>
              </w:rPr>
            </w:pPr>
            <w:r>
              <w:rPr>
                <w:rFonts w:asciiTheme="majorHAnsi" w:hAnsiTheme="majorHAnsi" w:cstheme="majorHAnsi"/>
                <w:szCs w:val="22"/>
              </w:rPr>
              <w:t>You want to learn about a particular safety concern</w:t>
            </w:r>
          </w:p>
        </w:tc>
        <w:tc>
          <w:tcPr>
            <w:tcW w:w="5103" w:type="dxa"/>
            <w:shd w:val="clear" w:color="auto" w:fill="D9D9D9" w:themeFill="background1" w:themeFillShade="D9"/>
          </w:tcPr>
          <w:p w14:paraId="78E5875D" w14:textId="7DB899C7" w:rsid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Confined Space Procedure</w:t>
            </w:r>
          </w:p>
          <w:p w14:paraId="416F3627" w14:textId="37E8CBF7" w:rsid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Electrical Safety Procedure</w:t>
            </w:r>
          </w:p>
          <w:p w14:paraId="2AAA6153" w14:textId="33BABA97" w:rsidR="00566923" w:rsidRPr="00566923" w:rsidRDefault="00566923" w:rsidP="00566923">
            <w:pPr>
              <w:pStyle w:val="MHPBody"/>
              <w:numPr>
                <w:ilvl w:val="0"/>
                <w:numId w:val="37"/>
              </w:numPr>
              <w:rPr>
                <w:rFonts w:asciiTheme="majorHAnsi" w:hAnsiTheme="majorHAnsi" w:cstheme="majorHAnsi"/>
                <w:szCs w:val="22"/>
              </w:rPr>
            </w:pPr>
            <w:r w:rsidRPr="00566923">
              <w:rPr>
                <w:rFonts w:asciiTheme="majorHAnsi" w:hAnsiTheme="majorHAnsi" w:cstheme="majorHAnsi"/>
                <w:szCs w:val="22"/>
              </w:rPr>
              <w:t>Working at Heights Procedure</w:t>
            </w:r>
          </w:p>
        </w:tc>
      </w:tr>
    </w:tbl>
    <w:p w14:paraId="781A9676" w14:textId="77777777" w:rsidR="00566923" w:rsidRPr="00566923" w:rsidRDefault="00566923" w:rsidP="00566923">
      <w:pPr>
        <w:spacing w:line="276" w:lineRule="auto"/>
        <w:outlineLvl w:val="0"/>
        <w:rPr>
          <w:bCs/>
          <w:szCs w:val="22"/>
          <w:lang w:val="en-AU"/>
        </w:rPr>
      </w:pPr>
    </w:p>
    <w:p w14:paraId="3000A160" w14:textId="77777777" w:rsidR="00010DA4" w:rsidRDefault="00010DA4" w:rsidP="00A848EB">
      <w:pPr>
        <w:spacing w:line="276" w:lineRule="auto"/>
        <w:outlineLvl w:val="0"/>
        <w:rPr>
          <w:bCs/>
          <w:szCs w:val="22"/>
          <w:lang w:val="en-AU"/>
        </w:rPr>
      </w:pPr>
    </w:p>
    <w:p w14:paraId="10AF1445" w14:textId="77777777" w:rsidR="00010DA4" w:rsidRDefault="00010DA4" w:rsidP="00A848EB">
      <w:pPr>
        <w:spacing w:line="276" w:lineRule="auto"/>
        <w:outlineLvl w:val="0"/>
        <w:rPr>
          <w:bCs/>
          <w:szCs w:val="22"/>
          <w:lang w:val="en-AU"/>
        </w:rPr>
      </w:pPr>
    </w:p>
    <w:p w14:paraId="12BC4BEA" w14:textId="6FC4DF5E" w:rsidR="00CB6193" w:rsidRPr="00C36B2A" w:rsidRDefault="00CB6193" w:rsidP="00BE329C">
      <w:pPr>
        <w:pStyle w:val="Heading1"/>
        <w:rPr>
          <w:lang w:val="en-AU"/>
        </w:rPr>
      </w:pPr>
      <w:r w:rsidRPr="00C36B2A">
        <w:rPr>
          <w:lang w:val="en-AU"/>
        </w:rPr>
        <w:t>The benefits and limitations of safety training</w:t>
      </w:r>
    </w:p>
    <w:p w14:paraId="5CB91743" w14:textId="77777777" w:rsidR="00CB6193" w:rsidRPr="00C36B2A" w:rsidRDefault="00CB6193" w:rsidP="00CB6193">
      <w:pPr>
        <w:spacing w:line="276" w:lineRule="auto"/>
        <w:rPr>
          <w:rFonts w:cstheme="majorHAnsi"/>
          <w:lang w:val="en-AU"/>
        </w:rPr>
      </w:pPr>
    </w:p>
    <w:p w14:paraId="43BE5B94" w14:textId="2B3F461A" w:rsidR="00CB6193" w:rsidRPr="00C36B2A" w:rsidRDefault="0000484D" w:rsidP="00CB6193">
      <w:pPr>
        <w:spacing w:line="276" w:lineRule="auto"/>
        <w:rPr>
          <w:rFonts w:cstheme="majorHAnsi"/>
          <w:lang w:val="en-AU"/>
        </w:rPr>
      </w:pPr>
      <w:r w:rsidRPr="00C36B2A">
        <w:rPr>
          <w:rFonts w:cstheme="majorHAnsi"/>
          <w:lang w:val="en-AU"/>
        </w:rPr>
        <w:t>Almost every organization will offer some training around safety.  Yet, despite the ubiquity of this training, many of these programs are designed effectively.</w:t>
      </w:r>
      <w:r w:rsidR="00BE329C" w:rsidRPr="00C36B2A">
        <w:rPr>
          <w:rFonts w:cstheme="majorHAnsi"/>
          <w:lang w:val="en-AU"/>
        </w:rPr>
        <w:t xml:space="preserve">  </w:t>
      </w:r>
      <w:r w:rsidR="00CB6193" w:rsidRPr="00C36B2A">
        <w:rPr>
          <w:rFonts w:cstheme="majorHAnsi"/>
          <w:lang w:val="en-AU"/>
        </w:rPr>
        <w:t xml:space="preserve">The following table </w:t>
      </w:r>
      <w:r w:rsidR="00770459" w:rsidRPr="00C36B2A">
        <w:rPr>
          <w:rFonts w:cstheme="majorHAnsi"/>
          <w:lang w:val="en-AU"/>
        </w:rPr>
        <w:t>presents some examples to illustrate</w:t>
      </w:r>
      <w:r w:rsidR="00CB6193" w:rsidRPr="00C36B2A">
        <w:rPr>
          <w:rFonts w:cstheme="majorHAnsi"/>
          <w:lang w:val="en-AU"/>
        </w:rPr>
        <w:t xml:space="preserve"> how supervisors and instructors can improve the benefits of this training.  </w:t>
      </w:r>
    </w:p>
    <w:p w14:paraId="78CC085D" w14:textId="3571190E" w:rsidR="00CB6193" w:rsidRPr="00C36B2A" w:rsidRDefault="00CB6193" w:rsidP="00CB6193">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506"/>
        <w:gridCol w:w="4536"/>
      </w:tblGrid>
      <w:tr w:rsidR="00770459" w:rsidRPr="00C36B2A" w14:paraId="72EF80AA" w14:textId="77777777" w:rsidTr="00DC7F86">
        <w:tc>
          <w:tcPr>
            <w:tcW w:w="4506" w:type="dxa"/>
            <w:shd w:val="clear" w:color="auto" w:fill="C6EBD6" w:themeFill="accent5" w:themeFillTint="66"/>
          </w:tcPr>
          <w:p w14:paraId="425351B6" w14:textId="22545209" w:rsidR="00770459" w:rsidRPr="00C36B2A" w:rsidRDefault="000E1421" w:rsidP="00DC7F86">
            <w:pPr>
              <w:spacing w:line="276" w:lineRule="auto"/>
              <w:jc w:val="center"/>
              <w:rPr>
                <w:rFonts w:cstheme="majorHAnsi"/>
                <w:lang w:val="en-AU"/>
              </w:rPr>
            </w:pPr>
            <w:r w:rsidRPr="000E1421">
              <w:rPr>
                <w:rFonts w:cstheme="majorHAnsi"/>
                <w:lang w:val="en-AU"/>
              </w:rPr>
              <w:t>Recommendation</w:t>
            </w:r>
          </w:p>
        </w:tc>
        <w:tc>
          <w:tcPr>
            <w:tcW w:w="4536" w:type="dxa"/>
            <w:shd w:val="clear" w:color="auto" w:fill="C6EBD6" w:themeFill="accent5" w:themeFillTint="66"/>
          </w:tcPr>
          <w:p w14:paraId="11728F48" w14:textId="6FB2A563" w:rsidR="00770459" w:rsidRPr="00C36B2A" w:rsidRDefault="00770459" w:rsidP="00DC7F86">
            <w:pPr>
              <w:spacing w:line="276" w:lineRule="auto"/>
              <w:jc w:val="center"/>
              <w:rPr>
                <w:rFonts w:cstheme="majorHAnsi"/>
                <w:lang w:val="en-AU"/>
              </w:rPr>
            </w:pPr>
            <w:r w:rsidRPr="00C36B2A">
              <w:rPr>
                <w:rFonts w:cstheme="majorHAnsi"/>
                <w:lang w:val="en-AU"/>
              </w:rPr>
              <w:t>Rationale</w:t>
            </w:r>
          </w:p>
        </w:tc>
      </w:tr>
      <w:tr w:rsidR="00770459" w:rsidRPr="00C36B2A" w14:paraId="542A0A28" w14:textId="77777777" w:rsidTr="00DC7F86">
        <w:tc>
          <w:tcPr>
            <w:tcW w:w="4506" w:type="dxa"/>
            <w:shd w:val="clear" w:color="auto" w:fill="D9D9D9" w:themeFill="background1" w:themeFillShade="D9"/>
          </w:tcPr>
          <w:p w14:paraId="042B70AF" w14:textId="5AB95128" w:rsidR="00770459" w:rsidRPr="00C36B2A" w:rsidRDefault="00770459" w:rsidP="00770459">
            <w:pPr>
              <w:spacing w:line="276" w:lineRule="auto"/>
              <w:rPr>
                <w:rFonts w:cstheme="majorHAnsi"/>
                <w:lang w:val="en-AU"/>
              </w:rPr>
            </w:pPr>
            <w:r w:rsidRPr="00C36B2A">
              <w:rPr>
                <w:rFonts w:cstheme="majorHAnsi"/>
                <w:lang w:val="en-AU"/>
              </w:rPr>
              <w:t xml:space="preserve">Rather than merely offer the same generic training to all members of a team, </w:t>
            </w:r>
            <w:proofErr w:type="gramStart"/>
            <w:r w:rsidRPr="00C36B2A">
              <w:rPr>
                <w:rFonts w:cstheme="majorHAnsi"/>
                <w:lang w:val="en-AU"/>
              </w:rPr>
              <w:t>each individual</w:t>
            </w:r>
            <w:proofErr w:type="gramEnd"/>
            <w:r w:rsidRPr="00C36B2A">
              <w:rPr>
                <w:rFonts w:cstheme="majorHAnsi"/>
                <w:lang w:val="en-AU"/>
              </w:rPr>
              <w:t xml:space="preserve"> should be granted the opportunity to develop a specialized and exclusive skill that is germane to safety</w:t>
            </w:r>
            <w:r w:rsidR="0001050D">
              <w:rPr>
                <w:rFonts w:cstheme="majorHAnsi"/>
                <w:lang w:val="en-AU"/>
              </w:rPr>
              <w:t>—a skill their colleagues have not developed.</w:t>
            </w:r>
          </w:p>
          <w:p w14:paraId="6927ECD8" w14:textId="437F429E" w:rsidR="00770459" w:rsidRPr="00C36B2A" w:rsidRDefault="00770459" w:rsidP="00DC7F86">
            <w:pPr>
              <w:spacing w:line="276" w:lineRule="auto"/>
              <w:rPr>
                <w:rFonts w:cstheme="majorHAnsi"/>
                <w:lang w:val="en-AU"/>
              </w:rPr>
            </w:pPr>
          </w:p>
        </w:tc>
        <w:tc>
          <w:tcPr>
            <w:tcW w:w="4536" w:type="dxa"/>
            <w:shd w:val="clear" w:color="auto" w:fill="D9D9D9" w:themeFill="background1" w:themeFillShade="D9"/>
          </w:tcPr>
          <w:p w14:paraId="2CB24CBD" w14:textId="2BAB5B70" w:rsidR="00770459" w:rsidRPr="00C36B2A" w:rsidRDefault="00770459" w:rsidP="00770459">
            <w:pPr>
              <w:pStyle w:val="ListParagraph"/>
              <w:numPr>
                <w:ilvl w:val="0"/>
                <w:numId w:val="32"/>
              </w:numPr>
              <w:spacing w:line="276" w:lineRule="auto"/>
              <w:rPr>
                <w:rFonts w:cstheme="majorHAnsi"/>
                <w:lang w:val="en-AU"/>
              </w:rPr>
            </w:pPr>
            <w:r w:rsidRPr="00C36B2A">
              <w:rPr>
                <w:rFonts w:cstheme="majorHAnsi"/>
                <w:lang w:val="en-AU"/>
              </w:rPr>
              <w:t>After they develop a specialized, exclusive skill that is pertinent to safety, individuals are more likely to perceive safety as integral to their role or perception of themselves.  They are thus more inclined to maintain safe practices, consistent with self-determination theory (</w:t>
            </w:r>
            <w:r w:rsidR="00F11271" w:rsidRPr="00C36B2A">
              <w:rPr>
                <w:rFonts w:cstheme="majorHAnsi"/>
                <w:lang w:val="en-AU"/>
              </w:rPr>
              <w:t xml:space="preserve">e.g., </w:t>
            </w:r>
            <w:proofErr w:type="spellStart"/>
            <w:r w:rsidR="00F11271" w:rsidRPr="00C36B2A">
              <w:rPr>
                <w:rFonts w:cstheme="majorHAnsi"/>
                <w:lang w:val="en-AU"/>
              </w:rPr>
              <w:t>Vansteenkiste</w:t>
            </w:r>
            <w:proofErr w:type="spellEnd"/>
            <w:r w:rsidR="00F11271" w:rsidRPr="00C36B2A">
              <w:rPr>
                <w:rFonts w:cstheme="majorHAnsi"/>
                <w:lang w:val="en-AU"/>
              </w:rPr>
              <w:t xml:space="preserve"> et al., 2004</w:t>
            </w:r>
            <w:r w:rsidRPr="00C36B2A">
              <w:rPr>
                <w:rFonts w:cstheme="majorHAnsi"/>
                <w:lang w:val="en-AU"/>
              </w:rPr>
              <w:t xml:space="preserve">).  </w:t>
            </w:r>
          </w:p>
          <w:p w14:paraId="3BB61AAC" w14:textId="043D31D8" w:rsidR="00770459" w:rsidRPr="00C36B2A" w:rsidRDefault="00770459" w:rsidP="005E394E">
            <w:pPr>
              <w:pStyle w:val="ListParagraph"/>
              <w:numPr>
                <w:ilvl w:val="0"/>
                <w:numId w:val="32"/>
              </w:numPr>
              <w:spacing w:line="276" w:lineRule="auto"/>
              <w:rPr>
                <w:rFonts w:cstheme="majorHAnsi"/>
                <w:lang w:val="en-AU"/>
              </w:rPr>
            </w:pPr>
            <w:r w:rsidRPr="00C36B2A">
              <w:rPr>
                <w:rFonts w:cstheme="majorHAnsi"/>
                <w:lang w:val="en-AU"/>
              </w:rPr>
              <w:lastRenderedPageBreak/>
              <w:t>This finding could explain the observation that safety knowledge does tend to promote compliance as well (Christian et al., 2009)</w:t>
            </w:r>
          </w:p>
        </w:tc>
      </w:tr>
      <w:tr w:rsidR="00C36B2A" w:rsidRPr="00C36B2A" w14:paraId="079F1B64" w14:textId="77777777" w:rsidTr="00DC7F86">
        <w:tc>
          <w:tcPr>
            <w:tcW w:w="4506" w:type="dxa"/>
            <w:shd w:val="clear" w:color="auto" w:fill="D9D9D9" w:themeFill="background1" w:themeFillShade="D9"/>
          </w:tcPr>
          <w:p w14:paraId="1ACED266" w14:textId="6665FA1A" w:rsidR="00C36B2A" w:rsidRPr="00C36B2A" w:rsidRDefault="00C36B2A" w:rsidP="00C36B2A">
            <w:pPr>
              <w:spacing w:line="276" w:lineRule="auto"/>
              <w:rPr>
                <w:rFonts w:cstheme="majorHAnsi"/>
                <w:lang w:val="en-AU"/>
              </w:rPr>
            </w:pPr>
            <w:r w:rsidRPr="00C36B2A">
              <w:rPr>
                <w:rFonts w:cstheme="majorHAnsi"/>
                <w:lang w:val="en-AU"/>
              </w:rPr>
              <w:lastRenderedPageBreak/>
              <w:t xml:space="preserve">During training sessions, individuals should be encouraged to consider times in which they could have behaved more safely in the past.  Next, they should consider the possible benefits of safer behaviour, such as reduced anxiety.  </w:t>
            </w:r>
          </w:p>
        </w:tc>
        <w:tc>
          <w:tcPr>
            <w:tcW w:w="4536" w:type="dxa"/>
            <w:shd w:val="clear" w:color="auto" w:fill="D9D9D9" w:themeFill="background1" w:themeFillShade="D9"/>
          </w:tcPr>
          <w:p w14:paraId="3FEAF24C" w14:textId="77777777" w:rsidR="00C36B2A" w:rsidRDefault="00C36B2A" w:rsidP="00C36B2A">
            <w:pPr>
              <w:pStyle w:val="ListParagraph"/>
              <w:numPr>
                <w:ilvl w:val="0"/>
                <w:numId w:val="33"/>
              </w:numPr>
              <w:spacing w:line="276" w:lineRule="auto"/>
              <w:rPr>
                <w:rFonts w:cstheme="majorHAnsi"/>
                <w:lang w:val="en-AU"/>
              </w:rPr>
            </w:pPr>
            <w:r w:rsidRPr="00C36B2A">
              <w:rPr>
                <w:rFonts w:cstheme="majorHAnsi"/>
                <w:lang w:val="en-AU"/>
              </w:rPr>
              <w:t xml:space="preserve">This sequence of activities is called upward counterfactuals.  </w:t>
            </w:r>
          </w:p>
          <w:p w14:paraId="0B6A49D5" w14:textId="6E6BFD8D" w:rsidR="00C36B2A" w:rsidRPr="00C36B2A" w:rsidRDefault="00C36B2A" w:rsidP="00C36B2A">
            <w:pPr>
              <w:pStyle w:val="ListParagraph"/>
              <w:numPr>
                <w:ilvl w:val="0"/>
                <w:numId w:val="33"/>
              </w:numPr>
              <w:spacing w:line="276" w:lineRule="auto"/>
              <w:rPr>
                <w:rFonts w:cstheme="majorHAnsi"/>
                <w:lang w:val="en-AU"/>
              </w:rPr>
            </w:pPr>
            <w:r w:rsidRPr="00C36B2A">
              <w:rPr>
                <w:rFonts w:cstheme="majorHAnsi"/>
                <w:lang w:val="en-AU"/>
              </w:rPr>
              <w:t>These upward counterfactuals have been shown to promote safe practices (He et al., 2020)</w:t>
            </w:r>
          </w:p>
        </w:tc>
      </w:tr>
    </w:tbl>
    <w:p w14:paraId="4EDAFE1C" w14:textId="77777777" w:rsidR="00770459" w:rsidRPr="00C36B2A" w:rsidRDefault="00770459" w:rsidP="00CB6193">
      <w:pPr>
        <w:spacing w:line="276" w:lineRule="auto"/>
        <w:rPr>
          <w:rFonts w:cstheme="majorHAnsi"/>
          <w:lang w:val="en-AU"/>
        </w:rPr>
      </w:pPr>
    </w:p>
    <w:p w14:paraId="198B4822" w14:textId="77777777" w:rsidR="00CB6193" w:rsidRPr="00C36B2A" w:rsidRDefault="00CB6193" w:rsidP="00CB6193">
      <w:pPr>
        <w:spacing w:line="276" w:lineRule="auto"/>
        <w:rPr>
          <w:rFonts w:cstheme="majorHAnsi"/>
          <w:lang w:val="en-AU"/>
        </w:rPr>
      </w:pPr>
    </w:p>
    <w:p w14:paraId="0C420BA8" w14:textId="1DA03E94" w:rsidR="00CB6193" w:rsidRPr="00C36B2A" w:rsidRDefault="000E1421" w:rsidP="00CB6193">
      <w:pPr>
        <w:spacing w:line="276" w:lineRule="auto"/>
        <w:rPr>
          <w:rFonts w:cstheme="majorHAnsi"/>
          <w:lang w:val="en-AU"/>
        </w:rPr>
      </w:pPr>
      <w:r>
        <w:rPr>
          <w:rFonts w:cstheme="majorHAnsi"/>
          <w:lang w:val="en-AU"/>
        </w:rPr>
        <w:t>Unfortunately, t</w:t>
      </w:r>
      <w:r w:rsidR="00BE329C" w:rsidRPr="00C36B2A">
        <w:rPr>
          <w:rFonts w:cstheme="majorHAnsi"/>
          <w:lang w:val="en-AU"/>
        </w:rPr>
        <w:t xml:space="preserve">o improve the safety of teams, supervisors and managers sometimes assume that safety training will be sufficient. </w:t>
      </w:r>
      <w:r>
        <w:rPr>
          <w:rFonts w:cstheme="majorHAnsi"/>
          <w:lang w:val="en-AU"/>
        </w:rPr>
        <w:t>R</w:t>
      </w:r>
      <w:r w:rsidR="00CB6193" w:rsidRPr="00C36B2A">
        <w:rPr>
          <w:rFonts w:cstheme="majorHAnsi"/>
          <w:lang w:val="en-AU"/>
        </w:rPr>
        <w:t>esearch indicates</w:t>
      </w:r>
      <w:r>
        <w:rPr>
          <w:rFonts w:cstheme="majorHAnsi"/>
          <w:lang w:val="en-AU"/>
        </w:rPr>
        <w:t>, however,</w:t>
      </w:r>
      <w:r w:rsidR="00CB6193" w:rsidRPr="00C36B2A">
        <w:rPr>
          <w:rFonts w:cstheme="majorHAnsi"/>
          <w:lang w:val="en-AU"/>
        </w:rPr>
        <w:t xml:space="preserve"> that reliance on training is unlikely to prevent accidents and, in some circumstances, generate negligible benefits (e.g., Burke et al., 2011)—especially when the training is perceived unfavourably (Leiter et al., 2009).  Indeed, many practices and objects that seem unrelated to safety can </w:t>
      </w:r>
      <w:proofErr w:type="gramStart"/>
      <w:r w:rsidR="00CB6193" w:rsidRPr="00C36B2A">
        <w:rPr>
          <w:rFonts w:cstheme="majorHAnsi"/>
          <w:lang w:val="en-AU"/>
        </w:rPr>
        <w:t>actually shape</w:t>
      </w:r>
      <w:proofErr w:type="gramEnd"/>
      <w:r w:rsidR="00CB6193" w:rsidRPr="00C36B2A">
        <w:rPr>
          <w:rFonts w:cstheme="majorHAnsi"/>
          <w:lang w:val="en-AU"/>
        </w:rPr>
        <w:t xml:space="preserve"> the culture</w:t>
      </w:r>
      <w:r>
        <w:rPr>
          <w:rFonts w:cstheme="majorHAnsi"/>
          <w:lang w:val="en-AU"/>
        </w:rPr>
        <w:t xml:space="preserve"> around safety</w:t>
      </w:r>
      <w:r w:rsidR="00CB6193" w:rsidRPr="00C36B2A">
        <w:rPr>
          <w:rFonts w:cstheme="majorHAnsi"/>
          <w:lang w:val="en-AU"/>
        </w:rPr>
        <w:t xml:space="preserve"> and affect the frequency of accidents.  The remainder of this document outlines the practices and behaviours of supervisors that can, sometimes unexpectedly, improve safety. </w:t>
      </w:r>
    </w:p>
    <w:p w14:paraId="5CC5DB62" w14:textId="77777777" w:rsidR="00CB6193" w:rsidRPr="00C36B2A" w:rsidRDefault="00CB6193" w:rsidP="00CB6193">
      <w:pPr>
        <w:spacing w:line="276" w:lineRule="auto"/>
        <w:rPr>
          <w:rFonts w:cstheme="majorHAnsi"/>
          <w:lang w:val="en-AU"/>
        </w:rPr>
      </w:pPr>
      <w:r w:rsidRPr="00C36B2A">
        <w:rPr>
          <w:rFonts w:cstheme="majorHAnsi"/>
          <w:lang w:val="en-AU"/>
        </w:rPr>
        <w:t xml:space="preserve"> </w:t>
      </w:r>
    </w:p>
    <w:p w14:paraId="7B2274A0" w14:textId="432981A8" w:rsidR="000E1421" w:rsidRDefault="000E1421" w:rsidP="00CB6193">
      <w:pPr>
        <w:spacing w:line="276" w:lineRule="auto"/>
        <w:rPr>
          <w:rFonts w:cstheme="majorHAnsi"/>
          <w:lang w:val="en-AU"/>
        </w:rPr>
      </w:pPr>
    </w:p>
    <w:p w14:paraId="2A5FD1E4" w14:textId="77777777" w:rsidR="000E1421" w:rsidRDefault="000E1421" w:rsidP="00CB6193">
      <w:pPr>
        <w:spacing w:line="276" w:lineRule="auto"/>
        <w:rPr>
          <w:rFonts w:cstheme="majorHAnsi"/>
          <w:lang w:val="en-AU"/>
        </w:rPr>
      </w:pPr>
    </w:p>
    <w:p w14:paraId="4CB3923B" w14:textId="77777777" w:rsidR="00CC1B48" w:rsidRDefault="00CC1B48">
      <w:pPr>
        <w:rPr>
          <w:rFonts w:asciiTheme="minorHAnsi" w:hAnsiTheme="minorHAnsi"/>
          <w:b/>
          <w:sz w:val="28"/>
          <w:szCs w:val="32"/>
          <w:lang w:val="en-AU"/>
        </w:rPr>
      </w:pPr>
      <w:r>
        <w:rPr>
          <w:lang w:val="en-AU"/>
        </w:rPr>
        <w:br w:type="page"/>
      </w:r>
    </w:p>
    <w:p w14:paraId="2D7E3703" w14:textId="0862ADD6" w:rsidR="00CB6193" w:rsidRPr="00C36B2A" w:rsidRDefault="00CB6193" w:rsidP="000E1421">
      <w:pPr>
        <w:pStyle w:val="Heading1"/>
        <w:rPr>
          <w:lang w:val="en-AU"/>
        </w:rPr>
      </w:pPr>
      <w:r w:rsidRPr="00C36B2A">
        <w:rPr>
          <w:lang w:val="en-AU"/>
        </w:rPr>
        <w:lastRenderedPageBreak/>
        <w:t>The work environment</w:t>
      </w:r>
    </w:p>
    <w:p w14:paraId="5E1143F5" w14:textId="77777777" w:rsidR="00CB6193" w:rsidRPr="00C36B2A" w:rsidRDefault="00CB6193" w:rsidP="00CB6193">
      <w:pPr>
        <w:spacing w:line="276" w:lineRule="auto"/>
        <w:rPr>
          <w:rFonts w:cstheme="majorHAnsi"/>
          <w:lang w:val="en-AU"/>
        </w:rPr>
      </w:pPr>
    </w:p>
    <w:p w14:paraId="5768EDFC" w14:textId="77777777" w:rsidR="00CB6193" w:rsidRPr="00C36B2A" w:rsidRDefault="00CB6193" w:rsidP="00CB6193">
      <w:pPr>
        <w:spacing w:line="276" w:lineRule="auto"/>
        <w:rPr>
          <w:rFonts w:cstheme="majorHAnsi"/>
          <w:lang w:val="en-AU"/>
        </w:rPr>
      </w:pPr>
      <w:r w:rsidRPr="00C36B2A">
        <w:rPr>
          <w:rFonts w:cstheme="majorHAnsi"/>
          <w:lang w:val="en-AU"/>
        </w:rPr>
        <w:t>Many incidental features of the work environment affect the extent to which individuals comply with safety procedures or engage in safe practices.  Even features of the work environment that do not seem to be relevant to safety can affect safety.  The following table illustrates how you could arrange the work environment—such as offices, labs, and other spaces—to improve safety and a foster a safety culture</w:t>
      </w:r>
    </w:p>
    <w:p w14:paraId="33ED2D96" w14:textId="2CFAA04C" w:rsidR="000E1421" w:rsidRDefault="000E1421" w:rsidP="00CB6193">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656"/>
        <w:gridCol w:w="5386"/>
      </w:tblGrid>
      <w:tr w:rsidR="000E1421" w:rsidRPr="00C36B2A" w14:paraId="0086A1E4" w14:textId="77777777" w:rsidTr="00CC1B48">
        <w:tc>
          <w:tcPr>
            <w:tcW w:w="3656" w:type="dxa"/>
            <w:shd w:val="clear" w:color="auto" w:fill="C6EBD6" w:themeFill="accent5" w:themeFillTint="66"/>
          </w:tcPr>
          <w:p w14:paraId="402D6CA3" w14:textId="17DBEEBA" w:rsidR="000E1421" w:rsidRPr="00C36B2A" w:rsidRDefault="000E1421" w:rsidP="000E1421">
            <w:pPr>
              <w:spacing w:line="276" w:lineRule="auto"/>
              <w:jc w:val="center"/>
              <w:rPr>
                <w:rFonts w:cstheme="majorHAnsi"/>
                <w:lang w:val="en-AU"/>
              </w:rPr>
            </w:pPr>
            <w:r w:rsidRPr="00C36B2A">
              <w:rPr>
                <w:rFonts w:cstheme="majorHAnsi"/>
                <w:lang w:val="en-AU"/>
              </w:rPr>
              <w:t>Recommendation</w:t>
            </w:r>
          </w:p>
        </w:tc>
        <w:tc>
          <w:tcPr>
            <w:tcW w:w="5386" w:type="dxa"/>
            <w:shd w:val="clear" w:color="auto" w:fill="C6EBD6" w:themeFill="accent5" w:themeFillTint="66"/>
          </w:tcPr>
          <w:p w14:paraId="29AD82FB" w14:textId="77777777" w:rsidR="000E1421" w:rsidRPr="00C36B2A" w:rsidRDefault="000E1421" w:rsidP="00DC7F86">
            <w:pPr>
              <w:spacing w:line="276" w:lineRule="auto"/>
              <w:jc w:val="center"/>
              <w:rPr>
                <w:rFonts w:cstheme="majorHAnsi"/>
                <w:lang w:val="en-AU"/>
              </w:rPr>
            </w:pPr>
            <w:r w:rsidRPr="00C36B2A">
              <w:rPr>
                <w:rFonts w:cstheme="majorHAnsi"/>
                <w:lang w:val="en-AU"/>
              </w:rPr>
              <w:t>Rationale</w:t>
            </w:r>
          </w:p>
        </w:tc>
      </w:tr>
      <w:tr w:rsidR="000E1421" w:rsidRPr="00C36B2A" w14:paraId="6386BDBA" w14:textId="77777777" w:rsidTr="00CC1B48">
        <w:tc>
          <w:tcPr>
            <w:tcW w:w="3656" w:type="dxa"/>
            <w:shd w:val="clear" w:color="auto" w:fill="D9D9D9" w:themeFill="background1" w:themeFillShade="D9"/>
          </w:tcPr>
          <w:p w14:paraId="5E316AAC" w14:textId="7D8D407F" w:rsidR="000E1421" w:rsidRPr="00C36B2A" w:rsidRDefault="000E1421" w:rsidP="00DC7F86">
            <w:pPr>
              <w:spacing w:line="276" w:lineRule="auto"/>
              <w:rPr>
                <w:rFonts w:cstheme="majorHAnsi"/>
                <w:lang w:val="en-AU"/>
              </w:rPr>
            </w:pPr>
            <w:r w:rsidRPr="000E1421">
              <w:rPr>
                <w:rFonts w:cstheme="majorHAnsi"/>
                <w:lang w:val="en-AU"/>
              </w:rPr>
              <w:t xml:space="preserve">All workspaces should be arranged as neatly, tidily, and professionally as possible.  Even dust or marks on the wall, such as graffiti, should be removed as soon as possible </w:t>
            </w:r>
          </w:p>
        </w:tc>
        <w:tc>
          <w:tcPr>
            <w:tcW w:w="5386" w:type="dxa"/>
            <w:shd w:val="clear" w:color="auto" w:fill="D9D9D9" w:themeFill="background1" w:themeFillShade="D9"/>
          </w:tcPr>
          <w:p w14:paraId="29531A38" w14:textId="77777777" w:rsidR="000E1421" w:rsidRDefault="000E1421" w:rsidP="00DC7F86">
            <w:pPr>
              <w:pStyle w:val="ListParagraph"/>
              <w:numPr>
                <w:ilvl w:val="0"/>
                <w:numId w:val="32"/>
              </w:numPr>
              <w:spacing w:line="276" w:lineRule="auto"/>
              <w:rPr>
                <w:rFonts w:cstheme="majorHAnsi"/>
                <w:lang w:val="en-AU"/>
              </w:rPr>
            </w:pPr>
            <w:r w:rsidRPr="000E1421">
              <w:rPr>
                <w:rFonts w:cstheme="majorHAnsi"/>
                <w:lang w:val="en-AU"/>
              </w:rPr>
              <w:t xml:space="preserve">When workspaces seem disorderly, people are not as inclined to engage in healthy behaviours (e.g., </w:t>
            </w:r>
            <w:proofErr w:type="spellStart"/>
            <w:r w:rsidRPr="000E1421">
              <w:rPr>
                <w:rFonts w:cstheme="majorHAnsi"/>
                <w:lang w:val="en-AU"/>
              </w:rPr>
              <w:t>Vohs</w:t>
            </w:r>
            <w:proofErr w:type="spellEnd"/>
            <w:r w:rsidRPr="000E1421">
              <w:rPr>
                <w:rFonts w:cstheme="majorHAnsi"/>
                <w:lang w:val="en-AU"/>
              </w:rPr>
              <w:t xml:space="preserve">, Redden, &amp; </w:t>
            </w:r>
            <w:proofErr w:type="spellStart"/>
            <w:r w:rsidRPr="000E1421">
              <w:rPr>
                <w:rFonts w:cstheme="majorHAnsi"/>
                <w:lang w:val="en-AU"/>
              </w:rPr>
              <w:t>Rahinel</w:t>
            </w:r>
            <w:proofErr w:type="spellEnd"/>
            <w:r w:rsidRPr="000E1421">
              <w:rPr>
                <w:rFonts w:cstheme="majorHAnsi"/>
                <w:lang w:val="en-AU"/>
              </w:rPr>
              <w:t xml:space="preserve">, 2013). </w:t>
            </w:r>
          </w:p>
          <w:p w14:paraId="6B5639C9" w14:textId="77777777" w:rsidR="000E1421" w:rsidRDefault="000E1421" w:rsidP="00DC7F86">
            <w:pPr>
              <w:pStyle w:val="ListParagraph"/>
              <w:numPr>
                <w:ilvl w:val="0"/>
                <w:numId w:val="32"/>
              </w:numPr>
              <w:spacing w:line="276" w:lineRule="auto"/>
              <w:rPr>
                <w:rFonts w:cstheme="majorHAnsi"/>
                <w:lang w:val="en-AU"/>
              </w:rPr>
            </w:pPr>
            <w:r w:rsidRPr="000E1421">
              <w:rPr>
                <w:rFonts w:cstheme="majorHAnsi"/>
                <w:lang w:val="en-AU"/>
              </w:rPr>
              <w:t>In contrast, if the arrangement</w:t>
            </w:r>
            <w:r>
              <w:rPr>
                <w:rFonts w:cstheme="majorHAnsi"/>
                <w:lang w:val="en-AU"/>
              </w:rPr>
              <w:t xml:space="preserve"> of a workspace</w:t>
            </w:r>
            <w:r w:rsidRPr="000E1421">
              <w:rPr>
                <w:rFonts w:cstheme="majorHAnsi"/>
                <w:lang w:val="en-AU"/>
              </w:rPr>
              <w:t xml:space="preserve"> is neat, most individuals, perhaps unconsciously, assume that colleagues are compliant and methodical.  Therefore, they assume that people observe social norms, such as the norm to behave safely.  </w:t>
            </w:r>
          </w:p>
          <w:p w14:paraId="3A121A46" w14:textId="5CB6C952" w:rsidR="000E1421" w:rsidRPr="00C36B2A" w:rsidRDefault="000E1421" w:rsidP="00DC7F86">
            <w:pPr>
              <w:pStyle w:val="ListParagraph"/>
              <w:numPr>
                <w:ilvl w:val="0"/>
                <w:numId w:val="32"/>
              </w:numPr>
              <w:spacing w:line="276" w:lineRule="auto"/>
              <w:rPr>
                <w:rFonts w:cstheme="majorHAnsi"/>
                <w:lang w:val="en-AU"/>
              </w:rPr>
            </w:pPr>
            <w:r w:rsidRPr="000E1421">
              <w:rPr>
                <w:rFonts w:cstheme="majorHAnsi"/>
                <w:lang w:val="en-AU"/>
              </w:rPr>
              <w:t xml:space="preserve">Even graffiti has been shown to promote other irresponsible behaviour (Keizer, Lindenberg, &amp; Steg, 2008).  </w:t>
            </w:r>
          </w:p>
        </w:tc>
      </w:tr>
      <w:tr w:rsidR="000E1421" w:rsidRPr="00C36B2A" w14:paraId="4729F7D5" w14:textId="77777777" w:rsidTr="00CC1B48">
        <w:tc>
          <w:tcPr>
            <w:tcW w:w="3656" w:type="dxa"/>
            <w:shd w:val="clear" w:color="auto" w:fill="D9D9D9" w:themeFill="background1" w:themeFillShade="D9"/>
          </w:tcPr>
          <w:p w14:paraId="3A936D0D" w14:textId="16AA2BF1" w:rsidR="000E1421" w:rsidRPr="000E1421" w:rsidRDefault="000E1421" w:rsidP="00DC7F86">
            <w:pPr>
              <w:spacing w:line="276" w:lineRule="auto"/>
              <w:rPr>
                <w:rFonts w:cstheme="majorHAnsi"/>
                <w:lang w:val="en-AU"/>
              </w:rPr>
            </w:pPr>
            <w:r w:rsidRPr="00C36B2A">
              <w:rPr>
                <w:rFonts w:cstheme="majorHAnsi"/>
                <w:lang w:val="en-AU"/>
              </w:rPr>
              <w:t xml:space="preserve">Similarly, individuals should be encouraged to clean their own workspaces regularly, with products that elicit </w:t>
            </w:r>
            <w:r>
              <w:rPr>
                <w:rFonts w:cstheme="majorHAnsi"/>
                <w:lang w:val="en-AU"/>
              </w:rPr>
              <w:t>the</w:t>
            </w:r>
            <w:r w:rsidRPr="00C36B2A">
              <w:rPr>
                <w:rFonts w:cstheme="majorHAnsi"/>
                <w:lang w:val="en-AU"/>
              </w:rPr>
              <w:t xml:space="preserve"> scent</w:t>
            </w:r>
            <w:r>
              <w:rPr>
                <w:rFonts w:cstheme="majorHAnsi"/>
                <w:lang w:val="en-AU"/>
              </w:rPr>
              <w:t xml:space="preserve"> of citrus</w:t>
            </w:r>
            <w:r w:rsidRPr="00C36B2A">
              <w:rPr>
                <w:rFonts w:cstheme="majorHAnsi"/>
                <w:lang w:val="en-AU"/>
              </w:rPr>
              <w:t xml:space="preserve">.  Cleaning staff are unable to clean all surfaces frequently.   </w:t>
            </w:r>
          </w:p>
        </w:tc>
        <w:tc>
          <w:tcPr>
            <w:tcW w:w="5386" w:type="dxa"/>
            <w:shd w:val="clear" w:color="auto" w:fill="D9D9D9" w:themeFill="background1" w:themeFillShade="D9"/>
          </w:tcPr>
          <w:p w14:paraId="1218F606" w14:textId="77777777" w:rsidR="000E1421" w:rsidRDefault="000E1421" w:rsidP="00DC7F86">
            <w:pPr>
              <w:pStyle w:val="ListParagraph"/>
              <w:numPr>
                <w:ilvl w:val="0"/>
                <w:numId w:val="32"/>
              </w:numPr>
              <w:spacing w:line="276" w:lineRule="auto"/>
              <w:rPr>
                <w:rFonts w:cstheme="majorHAnsi"/>
                <w:lang w:val="en-AU"/>
              </w:rPr>
            </w:pPr>
            <w:r w:rsidRPr="000E1421">
              <w:rPr>
                <w:rFonts w:cstheme="majorHAnsi"/>
                <w:lang w:val="en-AU"/>
              </w:rPr>
              <w:t>A faint scent</w:t>
            </w:r>
            <w:r>
              <w:rPr>
                <w:rFonts w:cstheme="majorHAnsi"/>
                <w:lang w:val="en-AU"/>
              </w:rPr>
              <w:t xml:space="preserve"> of citrus</w:t>
            </w:r>
            <w:r w:rsidRPr="000E1421">
              <w:rPr>
                <w:rFonts w:cstheme="majorHAnsi"/>
                <w:lang w:val="en-AU"/>
              </w:rPr>
              <w:t xml:space="preserve"> has been shown to promote compliance (Holland, Hendricks, &amp; </w:t>
            </w:r>
            <w:proofErr w:type="spellStart"/>
            <w:r w:rsidRPr="000E1421">
              <w:rPr>
                <w:rFonts w:cstheme="majorHAnsi"/>
                <w:lang w:val="en-AU"/>
              </w:rPr>
              <w:t>Aarts</w:t>
            </w:r>
            <w:proofErr w:type="spellEnd"/>
            <w:r w:rsidRPr="000E1421">
              <w:rPr>
                <w:rFonts w:cstheme="majorHAnsi"/>
                <w:lang w:val="en-AU"/>
              </w:rPr>
              <w:t xml:space="preserve">, 2005).  </w:t>
            </w:r>
          </w:p>
          <w:p w14:paraId="44CB5288" w14:textId="63F6E76C" w:rsidR="000E1421" w:rsidRPr="000E1421" w:rsidRDefault="000E1421" w:rsidP="00DC7F86">
            <w:pPr>
              <w:pStyle w:val="ListParagraph"/>
              <w:numPr>
                <w:ilvl w:val="0"/>
                <w:numId w:val="32"/>
              </w:numPr>
              <w:spacing w:line="276" w:lineRule="auto"/>
              <w:rPr>
                <w:rFonts w:cstheme="majorHAnsi"/>
                <w:lang w:val="en-AU"/>
              </w:rPr>
            </w:pPr>
            <w:r w:rsidRPr="000E1421">
              <w:rPr>
                <w:rFonts w:cstheme="majorHAnsi"/>
                <w:lang w:val="en-AU"/>
              </w:rPr>
              <w:t xml:space="preserve">Individuals associate this scent with a feeling of hygiene and thus safety.  These feelings have been shown to promote a sense of trust in management, ultimately fostering compliance.  </w:t>
            </w:r>
          </w:p>
        </w:tc>
      </w:tr>
      <w:tr w:rsidR="000E1421" w:rsidRPr="00C36B2A" w14:paraId="0B6E4C14" w14:textId="77777777" w:rsidTr="00CC1B48">
        <w:tc>
          <w:tcPr>
            <w:tcW w:w="3656" w:type="dxa"/>
            <w:shd w:val="clear" w:color="auto" w:fill="D9D9D9" w:themeFill="background1" w:themeFillShade="D9"/>
          </w:tcPr>
          <w:p w14:paraId="06A9798A" w14:textId="3F9C8E50" w:rsidR="000E1421" w:rsidRPr="000E1421" w:rsidRDefault="000E1421" w:rsidP="00DC7F86">
            <w:pPr>
              <w:spacing w:line="276" w:lineRule="auto"/>
              <w:rPr>
                <w:rFonts w:cstheme="majorHAnsi"/>
                <w:lang w:val="en-AU"/>
              </w:rPr>
            </w:pPr>
            <w:r w:rsidRPr="000E1421">
              <w:rPr>
                <w:rFonts w:cstheme="majorHAnsi"/>
                <w:lang w:val="en-AU"/>
              </w:rPr>
              <w:t xml:space="preserve">Workspaces should be as light as possible rather than dim.  For example, unless essential, objects that obscure windows should be removed.  </w:t>
            </w:r>
          </w:p>
        </w:tc>
        <w:tc>
          <w:tcPr>
            <w:tcW w:w="5386" w:type="dxa"/>
            <w:shd w:val="clear" w:color="auto" w:fill="D9D9D9" w:themeFill="background1" w:themeFillShade="D9"/>
          </w:tcPr>
          <w:p w14:paraId="08A6538C" w14:textId="77777777" w:rsidR="000E1421" w:rsidRDefault="000E1421" w:rsidP="00DC7F86">
            <w:pPr>
              <w:pStyle w:val="ListParagraph"/>
              <w:numPr>
                <w:ilvl w:val="0"/>
                <w:numId w:val="32"/>
              </w:numPr>
              <w:spacing w:line="276" w:lineRule="auto"/>
              <w:rPr>
                <w:rFonts w:cstheme="majorHAnsi"/>
                <w:lang w:val="en-AU"/>
              </w:rPr>
            </w:pPr>
            <w:r w:rsidRPr="000E1421">
              <w:rPr>
                <w:rFonts w:cstheme="majorHAnsi"/>
                <w:lang w:val="en-AU"/>
              </w:rPr>
              <w:t xml:space="preserve">When rooms are dim, individuals are not as likely to behave with integrity (Zhong, </w:t>
            </w:r>
            <w:proofErr w:type="spellStart"/>
            <w:r w:rsidRPr="000E1421">
              <w:rPr>
                <w:rFonts w:cstheme="majorHAnsi"/>
                <w:lang w:val="en-AU"/>
              </w:rPr>
              <w:t>Bohns</w:t>
            </w:r>
            <w:proofErr w:type="spellEnd"/>
            <w:r w:rsidRPr="000E1421">
              <w:rPr>
                <w:rFonts w:cstheme="majorHAnsi"/>
                <w:lang w:val="en-AU"/>
              </w:rPr>
              <w:t xml:space="preserve">, &amp; Gino, 2010).  </w:t>
            </w:r>
          </w:p>
          <w:p w14:paraId="2EA85915" w14:textId="32C37AE7" w:rsidR="000E1421" w:rsidRPr="000E1421" w:rsidRDefault="000E1421" w:rsidP="00DC7F86">
            <w:pPr>
              <w:pStyle w:val="ListParagraph"/>
              <w:numPr>
                <w:ilvl w:val="0"/>
                <w:numId w:val="32"/>
              </w:numPr>
              <w:spacing w:line="276" w:lineRule="auto"/>
              <w:rPr>
                <w:rFonts w:cstheme="majorHAnsi"/>
                <w:lang w:val="en-AU"/>
              </w:rPr>
            </w:pPr>
            <w:r w:rsidRPr="000E1421">
              <w:rPr>
                <w:rFonts w:cstheme="majorHAnsi"/>
                <w:lang w:val="en-AU"/>
              </w:rPr>
              <w:t xml:space="preserve">They may, for example, </w:t>
            </w:r>
            <w:r w:rsidR="00723FFA">
              <w:rPr>
                <w:rFonts w:cstheme="majorHAnsi"/>
                <w:lang w:val="en-AU"/>
              </w:rPr>
              <w:t>indicate</w:t>
            </w:r>
            <w:r w:rsidRPr="000E1421">
              <w:rPr>
                <w:rFonts w:cstheme="majorHAnsi"/>
                <w:lang w:val="en-AU"/>
              </w:rPr>
              <w:t xml:space="preserve"> they have observed safety practices</w:t>
            </w:r>
            <w:r w:rsidR="00723FFA">
              <w:rPr>
                <w:rFonts w:cstheme="majorHAnsi"/>
                <w:lang w:val="en-AU"/>
              </w:rPr>
              <w:t xml:space="preserve"> but have </w:t>
            </w:r>
            <w:proofErr w:type="gramStart"/>
            <w:r w:rsidR="00723FFA">
              <w:rPr>
                <w:rFonts w:cstheme="majorHAnsi"/>
                <w:lang w:val="en-AU"/>
              </w:rPr>
              <w:t>actually violated</w:t>
            </w:r>
            <w:proofErr w:type="gramEnd"/>
            <w:r w:rsidR="00723FFA">
              <w:rPr>
                <w:rFonts w:cstheme="majorHAnsi"/>
                <w:lang w:val="en-AU"/>
              </w:rPr>
              <w:t xml:space="preserve"> these practices</w:t>
            </w:r>
            <w:r w:rsidRPr="000E1421">
              <w:rPr>
                <w:rFonts w:cstheme="majorHAnsi"/>
                <w:lang w:val="en-AU"/>
              </w:rPr>
              <w:t>.</w:t>
            </w:r>
          </w:p>
        </w:tc>
      </w:tr>
      <w:tr w:rsidR="000E1421" w:rsidRPr="00C36B2A" w14:paraId="2D5B0294" w14:textId="77777777" w:rsidTr="00CC1B48">
        <w:tc>
          <w:tcPr>
            <w:tcW w:w="3656" w:type="dxa"/>
            <w:shd w:val="clear" w:color="auto" w:fill="D9D9D9" w:themeFill="background1" w:themeFillShade="D9"/>
          </w:tcPr>
          <w:p w14:paraId="0ED78B3D" w14:textId="508F4946" w:rsidR="000E1421" w:rsidRPr="000E1421" w:rsidRDefault="00926D3C" w:rsidP="00DC7F86">
            <w:pPr>
              <w:spacing w:line="276" w:lineRule="auto"/>
              <w:rPr>
                <w:rFonts w:cstheme="majorHAnsi"/>
                <w:lang w:val="en-AU"/>
              </w:rPr>
            </w:pPr>
            <w:r w:rsidRPr="00926D3C">
              <w:rPr>
                <w:rFonts w:cstheme="majorHAnsi"/>
                <w:lang w:val="en-AU"/>
              </w:rPr>
              <w:t>Messages that encourage safe behaviour should concede the inconvenience of these acts.  A typical example is “Although safety checks are inconvenient, we would really appreciate you complete these checks each morning to prevent incidents”.</w:t>
            </w:r>
          </w:p>
        </w:tc>
        <w:tc>
          <w:tcPr>
            <w:tcW w:w="5386" w:type="dxa"/>
            <w:shd w:val="clear" w:color="auto" w:fill="D9D9D9" w:themeFill="background1" w:themeFillShade="D9"/>
          </w:tcPr>
          <w:p w14:paraId="7E055356" w14:textId="6137DE25" w:rsidR="000E1421" w:rsidRPr="000E1421" w:rsidRDefault="00926D3C" w:rsidP="00DC7F86">
            <w:pPr>
              <w:pStyle w:val="ListParagraph"/>
              <w:numPr>
                <w:ilvl w:val="0"/>
                <w:numId w:val="32"/>
              </w:numPr>
              <w:spacing w:line="276" w:lineRule="auto"/>
              <w:rPr>
                <w:rFonts w:cstheme="majorHAnsi"/>
                <w:lang w:val="en-AU"/>
              </w:rPr>
            </w:pPr>
            <w:r w:rsidRPr="00926D3C">
              <w:rPr>
                <w:rFonts w:cstheme="majorHAnsi"/>
                <w:lang w:val="en-AU"/>
              </w:rPr>
              <w:t>If the inconvenience of some act is accentuated rather than concealed, people are more likely to comply with requests (Werner, Stoll, Birch, &amp; White, 2002).</w:t>
            </w:r>
          </w:p>
        </w:tc>
      </w:tr>
    </w:tbl>
    <w:p w14:paraId="25E43E0E" w14:textId="77777777" w:rsidR="000E1421" w:rsidRPr="00C36B2A" w:rsidRDefault="000E1421" w:rsidP="00CB6193">
      <w:pPr>
        <w:spacing w:line="276" w:lineRule="auto"/>
        <w:rPr>
          <w:rFonts w:cstheme="majorHAnsi"/>
          <w:lang w:val="en-AU"/>
        </w:rPr>
      </w:pPr>
    </w:p>
    <w:p w14:paraId="78C95A3E" w14:textId="77777777" w:rsidR="00CB6193" w:rsidRPr="00C36B2A" w:rsidRDefault="00CB6193" w:rsidP="00CB6193">
      <w:pPr>
        <w:spacing w:line="276" w:lineRule="auto"/>
        <w:rPr>
          <w:rFonts w:cstheme="majorHAnsi"/>
          <w:lang w:val="en-AU"/>
        </w:rPr>
      </w:pPr>
    </w:p>
    <w:p w14:paraId="7E0F2521" w14:textId="77777777" w:rsidR="00CB6193" w:rsidRPr="00C36B2A" w:rsidRDefault="00CB6193" w:rsidP="00CB6193">
      <w:pPr>
        <w:spacing w:line="276" w:lineRule="auto"/>
        <w:rPr>
          <w:rFonts w:cstheme="majorHAnsi"/>
          <w:lang w:val="en-AU"/>
        </w:rPr>
      </w:pPr>
    </w:p>
    <w:p w14:paraId="3CD7E89F" w14:textId="77777777" w:rsidR="00CB6193" w:rsidRPr="00C36B2A" w:rsidRDefault="00CB6193" w:rsidP="00CB6193">
      <w:pPr>
        <w:spacing w:line="276" w:lineRule="auto"/>
        <w:rPr>
          <w:rFonts w:cstheme="majorHAnsi"/>
          <w:lang w:val="en-AU"/>
        </w:rPr>
      </w:pPr>
    </w:p>
    <w:p w14:paraId="23D94428" w14:textId="77777777" w:rsidR="00CB6193" w:rsidRPr="00C36B2A" w:rsidRDefault="00CB6193" w:rsidP="00CB6193">
      <w:pPr>
        <w:spacing w:line="276" w:lineRule="auto"/>
        <w:rPr>
          <w:rFonts w:cstheme="majorHAnsi"/>
          <w:lang w:val="en-AU"/>
        </w:rPr>
      </w:pPr>
    </w:p>
    <w:p w14:paraId="61187418" w14:textId="77777777" w:rsidR="00CB6193" w:rsidRPr="00C36B2A" w:rsidRDefault="00CB6193" w:rsidP="00CC1B48">
      <w:pPr>
        <w:pStyle w:val="Heading1"/>
        <w:rPr>
          <w:lang w:val="en-AU"/>
        </w:rPr>
      </w:pPr>
      <w:r w:rsidRPr="00C36B2A">
        <w:rPr>
          <w:lang w:val="en-AU"/>
        </w:rPr>
        <w:lastRenderedPageBreak/>
        <w:t>Empowerment</w:t>
      </w:r>
    </w:p>
    <w:p w14:paraId="022A9417" w14:textId="77777777" w:rsidR="00CB6193" w:rsidRPr="00C36B2A" w:rsidRDefault="00CB6193" w:rsidP="00CB6193">
      <w:pPr>
        <w:spacing w:line="276" w:lineRule="auto"/>
        <w:rPr>
          <w:rFonts w:cstheme="majorHAnsi"/>
          <w:lang w:val="en-AU"/>
        </w:rPr>
      </w:pPr>
    </w:p>
    <w:p w14:paraId="367FE1E4" w14:textId="535C853D" w:rsidR="00CB6193" w:rsidRDefault="00CB6193" w:rsidP="00CB6193">
      <w:pPr>
        <w:spacing w:line="276" w:lineRule="auto"/>
        <w:rPr>
          <w:rFonts w:cstheme="majorHAnsi"/>
          <w:lang w:val="en-AU"/>
        </w:rPr>
      </w:pPr>
      <w:r w:rsidRPr="00C36B2A">
        <w:rPr>
          <w:rFonts w:cstheme="majorHAnsi"/>
          <w:lang w:val="en-AU"/>
        </w:rPr>
        <w:t xml:space="preserve">Attempts to foster a safe environment, however, can </w:t>
      </w:r>
      <w:proofErr w:type="gramStart"/>
      <w:r w:rsidRPr="00C36B2A">
        <w:rPr>
          <w:rFonts w:cstheme="majorHAnsi"/>
          <w:lang w:val="en-AU"/>
        </w:rPr>
        <w:t>actually provoke</w:t>
      </w:r>
      <w:proofErr w:type="gramEnd"/>
      <w:r w:rsidRPr="00C36B2A">
        <w:rPr>
          <w:rFonts w:cstheme="majorHAnsi"/>
          <w:lang w:val="en-AU"/>
        </w:rPr>
        <w:t xml:space="preserve"> unsafe behaviours.  To illustrate, when supervisors demand that individuals complete various safety practices, these individuals often feel their autonomy is impinged—and this impinged autonomy has been shown to increase the risk of injuries and incidence of safety breaches (e.g., Barling, </w:t>
      </w:r>
      <w:proofErr w:type="spellStart"/>
      <w:r w:rsidRPr="00C36B2A">
        <w:rPr>
          <w:rFonts w:cstheme="majorHAnsi"/>
          <w:lang w:val="en-AU"/>
        </w:rPr>
        <w:t>Kelloway</w:t>
      </w:r>
      <w:proofErr w:type="spellEnd"/>
      <w:r w:rsidRPr="00C36B2A">
        <w:rPr>
          <w:rFonts w:cstheme="majorHAnsi"/>
          <w:lang w:val="en-AU"/>
        </w:rPr>
        <w:t>, &amp; Iverson, 2003; Parker, Axtell, &amp; Turner, 2001).  Consequently, initiatives that are intended to improve safety must be comple</w:t>
      </w:r>
      <w:r w:rsidR="00CC1B48">
        <w:rPr>
          <w:rFonts w:cstheme="majorHAnsi"/>
          <w:lang w:val="en-AU"/>
        </w:rPr>
        <w:t>mented</w:t>
      </w:r>
      <w:r w:rsidRPr="00C36B2A">
        <w:rPr>
          <w:rFonts w:cstheme="majorHAnsi"/>
          <w:lang w:val="en-AU"/>
        </w:rPr>
        <w:t xml:space="preserve"> with programs that promote autonomy and empowerment.  The following table outlines some programs or changes that could achieve this goal.  </w:t>
      </w:r>
    </w:p>
    <w:p w14:paraId="5DF671A4" w14:textId="4EC4A2BE" w:rsidR="00CC1B48" w:rsidRDefault="00CC1B48" w:rsidP="00CB6193">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932"/>
        <w:gridCol w:w="4252"/>
      </w:tblGrid>
      <w:tr w:rsidR="00CC1B48" w:rsidRPr="00C36B2A" w14:paraId="74C89414" w14:textId="77777777" w:rsidTr="00250BD9">
        <w:tc>
          <w:tcPr>
            <w:tcW w:w="4932" w:type="dxa"/>
            <w:shd w:val="clear" w:color="auto" w:fill="C6EBD6" w:themeFill="accent5" w:themeFillTint="66"/>
          </w:tcPr>
          <w:p w14:paraId="7B96A042" w14:textId="77777777" w:rsidR="00CC1B48" w:rsidRPr="00C36B2A" w:rsidRDefault="00CC1B48" w:rsidP="00DC7F86">
            <w:pPr>
              <w:spacing w:line="276" w:lineRule="auto"/>
              <w:jc w:val="center"/>
              <w:rPr>
                <w:rFonts w:cstheme="majorHAnsi"/>
                <w:lang w:val="en-AU"/>
              </w:rPr>
            </w:pPr>
            <w:r w:rsidRPr="00C36B2A">
              <w:rPr>
                <w:rFonts w:cstheme="majorHAnsi"/>
                <w:lang w:val="en-AU"/>
              </w:rPr>
              <w:t>Recommendation</w:t>
            </w:r>
          </w:p>
        </w:tc>
        <w:tc>
          <w:tcPr>
            <w:tcW w:w="4252" w:type="dxa"/>
            <w:shd w:val="clear" w:color="auto" w:fill="C6EBD6" w:themeFill="accent5" w:themeFillTint="66"/>
          </w:tcPr>
          <w:p w14:paraId="5C8EFE8F" w14:textId="77777777" w:rsidR="00CC1B48" w:rsidRPr="00C36B2A" w:rsidRDefault="00CC1B48" w:rsidP="00DC7F86">
            <w:pPr>
              <w:spacing w:line="276" w:lineRule="auto"/>
              <w:jc w:val="center"/>
              <w:rPr>
                <w:rFonts w:cstheme="majorHAnsi"/>
                <w:lang w:val="en-AU"/>
              </w:rPr>
            </w:pPr>
            <w:r w:rsidRPr="00C36B2A">
              <w:rPr>
                <w:rFonts w:cstheme="majorHAnsi"/>
                <w:lang w:val="en-AU"/>
              </w:rPr>
              <w:t>Rationale</w:t>
            </w:r>
          </w:p>
        </w:tc>
      </w:tr>
      <w:tr w:rsidR="00CC1B48" w:rsidRPr="00C36B2A" w14:paraId="349A3C90" w14:textId="77777777" w:rsidTr="00250BD9">
        <w:tc>
          <w:tcPr>
            <w:tcW w:w="4932" w:type="dxa"/>
            <w:shd w:val="clear" w:color="auto" w:fill="D9D9D9" w:themeFill="background1" w:themeFillShade="D9"/>
          </w:tcPr>
          <w:p w14:paraId="4DE5C531" w14:textId="5C6E46F2" w:rsidR="00CC1B48" w:rsidRPr="00C36B2A" w:rsidRDefault="00CC1B48" w:rsidP="00DC7F86">
            <w:pPr>
              <w:spacing w:line="276" w:lineRule="auto"/>
              <w:rPr>
                <w:rFonts w:cstheme="majorHAnsi"/>
                <w:lang w:val="en-AU"/>
              </w:rPr>
            </w:pPr>
            <w:r w:rsidRPr="00CC1B48">
              <w:rPr>
                <w:rFonts w:cstheme="majorHAnsi"/>
                <w:lang w:val="en-AU"/>
              </w:rPr>
              <w:t xml:space="preserve">Supervisors need organize regular workshops with candidates—or other individuals they supervise—to discuss how everyone could be granted more opportunities to contribute towards the management of their team.  For example, they might consider how candidates might be able to contribute towards the goals or plans of this team, improvements to work procedures, the allocation of resources, the evaluations of performance, as well as the recruitment, selection, and development of other members.  </w:t>
            </w:r>
          </w:p>
        </w:tc>
        <w:tc>
          <w:tcPr>
            <w:tcW w:w="4252" w:type="dxa"/>
            <w:shd w:val="clear" w:color="auto" w:fill="D9D9D9" w:themeFill="background1" w:themeFillShade="D9"/>
          </w:tcPr>
          <w:p w14:paraId="40AFD564" w14:textId="08B3998A" w:rsidR="00CC1B48" w:rsidRPr="00C36B2A" w:rsidRDefault="00CC1B48" w:rsidP="00DC7F86">
            <w:pPr>
              <w:pStyle w:val="ListParagraph"/>
              <w:numPr>
                <w:ilvl w:val="0"/>
                <w:numId w:val="32"/>
              </w:numPr>
              <w:spacing w:line="276" w:lineRule="auto"/>
              <w:rPr>
                <w:rFonts w:cstheme="majorHAnsi"/>
                <w:lang w:val="en-AU"/>
              </w:rPr>
            </w:pPr>
            <w:r w:rsidRPr="00CC1B48">
              <w:rPr>
                <w:rFonts w:cstheme="majorHAnsi"/>
                <w:lang w:val="en-AU"/>
              </w:rPr>
              <w:t>When individuals feel more empowered, they are not as inclined to engage in unsafe behaviours (</w:t>
            </w:r>
            <w:proofErr w:type="spellStart"/>
            <w:r w:rsidRPr="00CC1B48">
              <w:rPr>
                <w:rFonts w:cstheme="majorHAnsi"/>
                <w:lang w:val="en-AU"/>
              </w:rPr>
              <w:t>Hechanova-Alampay</w:t>
            </w:r>
            <w:proofErr w:type="spellEnd"/>
            <w:r w:rsidRPr="00CC1B48">
              <w:rPr>
                <w:rFonts w:cstheme="majorHAnsi"/>
                <w:lang w:val="en-AU"/>
              </w:rPr>
              <w:t xml:space="preserve"> &amp; </w:t>
            </w:r>
            <w:proofErr w:type="spellStart"/>
            <w:r w:rsidRPr="00CC1B48">
              <w:rPr>
                <w:rFonts w:cstheme="majorHAnsi"/>
                <w:lang w:val="en-AU"/>
              </w:rPr>
              <w:t>Beehr</w:t>
            </w:r>
            <w:proofErr w:type="spellEnd"/>
            <w:r w:rsidRPr="00CC1B48">
              <w:rPr>
                <w:rFonts w:cstheme="majorHAnsi"/>
                <w:lang w:val="en-AU"/>
              </w:rPr>
              <w:t xml:space="preserve">, 2001) and more likely to participate in safety initiatives (Ford &amp; </w:t>
            </w:r>
            <w:proofErr w:type="spellStart"/>
            <w:r w:rsidRPr="00CC1B48">
              <w:rPr>
                <w:rFonts w:cstheme="majorHAnsi"/>
                <w:lang w:val="en-AU"/>
              </w:rPr>
              <w:t>Tetrick</w:t>
            </w:r>
            <w:proofErr w:type="spellEnd"/>
            <w:r w:rsidRPr="00CC1B48">
              <w:rPr>
                <w:rFonts w:cstheme="majorHAnsi"/>
                <w:lang w:val="en-AU"/>
              </w:rPr>
              <w:t xml:space="preserve">, 2011).  </w:t>
            </w:r>
          </w:p>
        </w:tc>
      </w:tr>
      <w:tr w:rsidR="00CC1B48" w:rsidRPr="00C36B2A" w14:paraId="5327A115" w14:textId="77777777" w:rsidTr="00250BD9">
        <w:tc>
          <w:tcPr>
            <w:tcW w:w="4932" w:type="dxa"/>
            <w:shd w:val="clear" w:color="auto" w:fill="D9D9D9" w:themeFill="background1" w:themeFillShade="D9"/>
          </w:tcPr>
          <w:p w14:paraId="3B441E0D" w14:textId="2A88C01D" w:rsidR="00CC1B48" w:rsidRPr="00CC1B48" w:rsidRDefault="00CC1B48" w:rsidP="00DC7F86">
            <w:pPr>
              <w:spacing w:line="276" w:lineRule="auto"/>
              <w:rPr>
                <w:rFonts w:cstheme="majorHAnsi"/>
                <w:lang w:val="en-AU"/>
              </w:rPr>
            </w:pPr>
            <w:r w:rsidRPr="00CC1B48">
              <w:rPr>
                <w:rFonts w:cstheme="majorHAnsi"/>
                <w:lang w:val="en-AU"/>
              </w:rPr>
              <w:t xml:space="preserve">Supervisors need to carefully stipulate the rules or practices they believe candidates and other people they supervise must observe—but otherwise grant these individuals </w:t>
            </w:r>
            <w:r w:rsidR="0001050D">
              <w:rPr>
                <w:rFonts w:cstheme="majorHAnsi"/>
                <w:lang w:val="en-AU"/>
              </w:rPr>
              <w:t xml:space="preserve">considerable </w:t>
            </w:r>
            <w:r w:rsidRPr="00CC1B48">
              <w:rPr>
                <w:rFonts w:cstheme="majorHAnsi"/>
                <w:lang w:val="en-AU"/>
              </w:rPr>
              <w:t xml:space="preserve">autonomy and discretion. Unfortunately, many supervisors convey vague preferences, like “I prefer you utilise this method”—a statement that communicates neither an unambiguous rule </w:t>
            </w:r>
            <w:r w:rsidR="0001050D">
              <w:rPr>
                <w:rFonts w:cstheme="majorHAnsi"/>
                <w:lang w:val="en-AU"/>
              </w:rPr>
              <w:t>n</w:t>
            </w:r>
            <w:r w:rsidRPr="00CC1B48">
              <w:rPr>
                <w:rFonts w:cstheme="majorHAnsi"/>
                <w:lang w:val="en-AU"/>
              </w:rPr>
              <w:t xml:space="preserve">or a sense of autonomy.  </w:t>
            </w:r>
          </w:p>
        </w:tc>
        <w:tc>
          <w:tcPr>
            <w:tcW w:w="4252" w:type="dxa"/>
            <w:shd w:val="clear" w:color="auto" w:fill="D9D9D9" w:themeFill="background1" w:themeFillShade="D9"/>
          </w:tcPr>
          <w:p w14:paraId="3F419CC2" w14:textId="66A1DDD2" w:rsidR="00CC1B48" w:rsidRPr="00CC1B48" w:rsidRDefault="00CC1B48" w:rsidP="00CC1B48">
            <w:pPr>
              <w:pStyle w:val="ListParagraph"/>
              <w:numPr>
                <w:ilvl w:val="0"/>
                <w:numId w:val="32"/>
              </w:numPr>
              <w:spacing w:line="276" w:lineRule="auto"/>
              <w:rPr>
                <w:rFonts w:cstheme="majorHAnsi"/>
                <w:lang w:val="en-AU"/>
              </w:rPr>
            </w:pPr>
            <w:r w:rsidRPr="00CC1B48">
              <w:rPr>
                <w:rFonts w:cstheme="majorHAnsi"/>
                <w:lang w:val="en-AU"/>
              </w:rPr>
              <w:t xml:space="preserve">When individuals experience a sense of autonomy, the incidence of injuries and safety violations </w:t>
            </w:r>
            <w:proofErr w:type="gramStart"/>
            <w:r w:rsidRPr="00CC1B48">
              <w:rPr>
                <w:rFonts w:cstheme="majorHAnsi"/>
                <w:lang w:val="en-AU"/>
              </w:rPr>
              <w:t>actually subsides</w:t>
            </w:r>
            <w:proofErr w:type="gramEnd"/>
            <w:r w:rsidRPr="00CC1B48">
              <w:rPr>
                <w:rFonts w:cstheme="majorHAnsi"/>
                <w:lang w:val="en-AU"/>
              </w:rPr>
              <w:t xml:space="preserve"> (e.g., Barling, </w:t>
            </w:r>
            <w:proofErr w:type="spellStart"/>
            <w:r w:rsidRPr="00CC1B48">
              <w:rPr>
                <w:rFonts w:cstheme="majorHAnsi"/>
                <w:lang w:val="en-AU"/>
              </w:rPr>
              <w:t>Kelloway</w:t>
            </w:r>
            <w:proofErr w:type="spellEnd"/>
            <w:r w:rsidRPr="00CC1B48">
              <w:rPr>
                <w:rFonts w:cstheme="majorHAnsi"/>
                <w:lang w:val="en-AU"/>
              </w:rPr>
              <w:t>, &amp; Iverson, 2003; Parker, Axtell, &amp; Turner, 2001)</w:t>
            </w:r>
          </w:p>
        </w:tc>
      </w:tr>
      <w:tr w:rsidR="00CC1B48" w:rsidRPr="00C36B2A" w14:paraId="1BACE7EB" w14:textId="77777777" w:rsidTr="00250BD9">
        <w:tc>
          <w:tcPr>
            <w:tcW w:w="4932" w:type="dxa"/>
            <w:shd w:val="clear" w:color="auto" w:fill="D9D9D9" w:themeFill="background1" w:themeFillShade="D9"/>
          </w:tcPr>
          <w:p w14:paraId="66E22ADD" w14:textId="68D1E8BF" w:rsidR="00CC1B48" w:rsidRPr="00C36B2A" w:rsidRDefault="00CC1B48" w:rsidP="00CC1B48">
            <w:pPr>
              <w:spacing w:line="276" w:lineRule="auto"/>
              <w:rPr>
                <w:rFonts w:cstheme="majorHAnsi"/>
                <w:lang w:val="en-AU"/>
              </w:rPr>
            </w:pPr>
            <w:r w:rsidRPr="00C36B2A">
              <w:rPr>
                <w:rFonts w:cstheme="majorHAnsi"/>
                <w:lang w:val="en-AU"/>
              </w:rPr>
              <w:t xml:space="preserve">Supervisors need to confirm the tasks </w:t>
            </w:r>
            <w:r>
              <w:rPr>
                <w:rFonts w:cstheme="majorHAnsi"/>
                <w:lang w:val="en-AU"/>
              </w:rPr>
              <w:t xml:space="preserve">of </w:t>
            </w:r>
            <w:r w:rsidRPr="00C36B2A">
              <w:rPr>
                <w:rFonts w:cstheme="majorHAnsi"/>
                <w:lang w:val="en-AU"/>
              </w:rPr>
              <w:t>candidates or other people they supervise</w:t>
            </w:r>
            <w:r>
              <w:rPr>
                <w:rFonts w:cstheme="majorHAnsi"/>
                <w:lang w:val="en-AU"/>
              </w:rPr>
              <w:t xml:space="preserve"> </w:t>
            </w:r>
            <w:r w:rsidRPr="00C36B2A">
              <w:rPr>
                <w:rFonts w:cstheme="majorHAnsi"/>
                <w:lang w:val="en-AU"/>
              </w:rPr>
              <w:t>are not too repetitive.  If the tasks are repetitive, supervisors should demonstrate how these individuals might consider diverse</w:t>
            </w:r>
            <w:r w:rsidR="00EF2D03">
              <w:rPr>
                <w:rFonts w:cstheme="majorHAnsi"/>
                <w:lang w:val="en-AU"/>
              </w:rPr>
              <w:t>, novel</w:t>
            </w:r>
            <w:r w:rsidRPr="00C36B2A">
              <w:rPr>
                <w:rFonts w:cstheme="majorHAnsi"/>
                <w:lang w:val="en-AU"/>
              </w:rPr>
              <w:t xml:space="preserve"> practices or perspectives to diminish this repetition, </w:t>
            </w:r>
            <w:proofErr w:type="gramStart"/>
            <w:r w:rsidRPr="00C36B2A">
              <w:rPr>
                <w:rFonts w:cstheme="majorHAnsi"/>
                <w:lang w:val="en-AU"/>
              </w:rPr>
              <w:t>if at all possible</w:t>
            </w:r>
            <w:proofErr w:type="gramEnd"/>
            <w:r w:rsidRPr="00C36B2A">
              <w:rPr>
                <w:rFonts w:cstheme="majorHAnsi"/>
                <w:lang w:val="en-AU"/>
              </w:rPr>
              <w:t xml:space="preserve">. </w:t>
            </w:r>
          </w:p>
          <w:p w14:paraId="3D9624E8" w14:textId="77777777" w:rsidR="00CC1B48" w:rsidRPr="00CC1B48" w:rsidRDefault="00CC1B48" w:rsidP="00CC1B48">
            <w:pPr>
              <w:spacing w:line="276" w:lineRule="auto"/>
              <w:rPr>
                <w:rFonts w:cstheme="majorHAnsi"/>
                <w:lang w:val="en-AU"/>
              </w:rPr>
            </w:pPr>
          </w:p>
        </w:tc>
        <w:tc>
          <w:tcPr>
            <w:tcW w:w="4252" w:type="dxa"/>
            <w:shd w:val="clear" w:color="auto" w:fill="D9D9D9" w:themeFill="background1" w:themeFillShade="D9"/>
          </w:tcPr>
          <w:p w14:paraId="48CF0563" w14:textId="77777777" w:rsidR="00CC1B48" w:rsidRDefault="00CC1B48" w:rsidP="00CC1B48">
            <w:pPr>
              <w:pStyle w:val="ListParagraph"/>
              <w:numPr>
                <w:ilvl w:val="0"/>
                <w:numId w:val="32"/>
              </w:numPr>
              <w:spacing w:line="276" w:lineRule="auto"/>
              <w:rPr>
                <w:rFonts w:cstheme="majorHAnsi"/>
                <w:lang w:val="en-AU"/>
              </w:rPr>
            </w:pPr>
            <w:r w:rsidRPr="00CC1B48">
              <w:rPr>
                <w:rFonts w:cstheme="majorHAnsi"/>
                <w:lang w:val="en-AU"/>
              </w:rPr>
              <w:t xml:space="preserve">If individuals feel their tasks are </w:t>
            </w:r>
            <w:r>
              <w:rPr>
                <w:rFonts w:cstheme="majorHAnsi"/>
                <w:lang w:val="en-AU"/>
              </w:rPr>
              <w:t>repetitive rather than</w:t>
            </w:r>
            <w:r w:rsidRPr="00CC1B48">
              <w:rPr>
                <w:rFonts w:cstheme="majorHAnsi"/>
                <w:lang w:val="en-AU"/>
              </w:rPr>
              <w:t xml:space="preserve"> diverse, they often become disengaged from their job, augmenting the incidence of safety problems (Barling, </w:t>
            </w:r>
            <w:proofErr w:type="spellStart"/>
            <w:r w:rsidRPr="00CC1B48">
              <w:rPr>
                <w:rFonts w:cstheme="majorHAnsi"/>
                <w:lang w:val="en-AU"/>
              </w:rPr>
              <w:t>Kelloway</w:t>
            </w:r>
            <w:proofErr w:type="spellEnd"/>
            <w:r w:rsidRPr="00CC1B48">
              <w:rPr>
                <w:rFonts w:cstheme="majorHAnsi"/>
                <w:lang w:val="en-AU"/>
              </w:rPr>
              <w:t xml:space="preserve">, &amp; Iverson, 2003; Parker, Axtell, &amp; Turner, 2001).  </w:t>
            </w:r>
          </w:p>
          <w:p w14:paraId="4412AE13" w14:textId="0001F054" w:rsidR="00CC1B48" w:rsidRPr="00CC1B48" w:rsidRDefault="00CC1B48" w:rsidP="00CC1B48">
            <w:pPr>
              <w:pStyle w:val="ListParagraph"/>
              <w:numPr>
                <w:ilvl w:val="0"/>
                <w:numId w:val="32"/>
              </w:numPr>
              <w:spacing w:line="276" w:lineRule="auto"/>
              <w:rPr>
                <w:rFonts w:cstheme="majorHAnsi"/>
                <w:lang w:val="en-AU"/>
              </w:rPr>
            </w:pPr>
            <w:r w:rsidRPr="00CC1B48">
              <w:rPr>
                <w:rFonts w:cstheme="majorHAnsi"/>
                <w:lang w:val="en-AU"/>
              </w:rPr>
              <w:t>Even job dissatisfaction has been shown to increase the incidence of accidents (see Clarke, 2010).</w:t>
            </w:r>
          </w:p>
        </w:tc>
      </w:tr>
      <w:tr w:rsidR="00CC1B48" w:rsidRPr="00C36B2A" w14:paraId="6E3660BA" w14:textId="77777777" w:rsidTr="00250BD9">
        <w:tc>
          <w:tcPr>
            <w:tcW w:w="4932" w:type="dxa"/>
            <w:shd w:val="clear" w:color="auto" w:fill="D9D9D9" w:themeFill="background1" w:themeFillShade="D9"/>
          </w:tcPr>
          <w:p w14:paraId="023B151A" w14:textId="1EA74E4E" w:rsidR="00CC1B48" w:rsidRPr="00CC1B48" w:rsidRDefault="00CC1B48" w:rsidP="00DC7F86">
            <w:pPr>
              <w:spacing w:line="276" w:lineRule="auto"/>
              <w:rPr>
                <w:rFonts w:cstheme="majorHAnsi"/>
                <w:lang w:val="en-AU"/>
              </w:rPr>
            </w:pPr>
            <w:r w:rsidRPr="00CC1B48">
              <w:rPr>
                <w:rFonts w:cstheme="majorHAnsi"/>
                <w:lang w:val="en-AU"/>
              </w:rPr>
              <w:t xml:space="preserve">Supervisors should encourage their candidates, and other people they supervise to set their own goals.  Perhaps every month, they should also confirm these </w:t>
            </w:r>
            <w:r w:rsidRPr="00CC1B48">
              <w:rPr>
                <w:rFonts w:cstheme="majorHAnsi"/>
                <w:lang w:val="en-AU"/>
              </w:rPr>
              <w:lastRenderedPageBreak/>
              <w:t>individuals have set and achieve</w:t>
            </w:r>
            <w:r>
              <w:rPr>
                <w:rFonts w:cstheme="majorHAnsi"/>
                <w:lang w:val="en-AU"/>
              </w:rPr>
              <w:t>d</w:t>
            </w:r>
            <w:r w:rsidRPr="00CC1B48">
              <w:rPr>
                <w:rFonts w:cstheme="majorHAnsi"/>
                <w:lang w:val="en-AU"/>
              </w:rPr>
              <w:t xml:space="preserve"> these goals.  Supervisors should also instruct these individuals to relate one of these goals to safety.</w:t>
            </w:r>
          </w:p>
        </w:tc>
        <w:tc>
          <w:tcPr>
            <w:tcW w:w="4252" w:type="dxa"/>
            <w:shd w:val="clear" w:color="auto" w:fill="D9D9D9" w:themeFill="background1" w:themeFillShade="D9"/>
          </w:tcPr>
          <w:p w14:paraId="7EBD524C" w14:textId="77777777" w:rsidR="00CC1B48" w:rsidRDefault="00CC1B48" w:rsidP="00DC7F86">
            <w:pPr>
              <w:pStyle w:val="ListParagraph"/>
              <w:numPr>
                <w:ilvl w:val="0"/>
                <w:numId w:val="32"/>
              </w:numPr>
              <w:spacing w:line="276" w:lineRule="auto"/>
              <w:rPr>
                <w:rFonts w:cstheme="majorHAnsi"/>
                <w:lang w:val="en-AU"/>
              </w:rPr>
            </w:pPr>
            <w:r w:rsidRPr="00CC1B48">
              <w:rPr>
                <w:rFonts w:cstheme="majorHAnsi"/>
                <w:lang w:val="en-AU"/>
              </w:rPr>
              <w:lastRenderedPageBreak/>
              <w:t xml:space="preserve">Unsurprisingly, when individuals set goals around safety, they are more likely to </w:t>
            </w:r>
            <w:r w:rsidRPr="00CC1B48">
              <w:rPr>
                <w:rFonts w:cstheme="majorHAnsi"/>
                <w:lang w:val="en-AU"/>
              </w:rPr>
              <w:lastRenderedPageBreak/>
              <w:t xml:space="preserve">behave safely (Cooper et al., 1994; for related interventions, see Zohar, 2002).  </w:t>
            </w:r>
          </w:p>
          <w:p w14:paraId="2FA52983" w14:textId="31AE1736" w:rsidR="00CC1B48" w:rsidRPr="00CC1B48" w:rsidRDefault="00CC1B48" w:rsidP="00DC7F86">
            <w:pPr>
              <w:pStyle w:val="ListParagraph"/>
              <w:numPr>
                <w:ilvl w:val="0"/>
                <w:numId w:val="32"/>
              </w:numPr>
              <w:spacing w:line="276" w:lineRule="auto"/>
              <w:rPr>
                <w:rFonts w:cstheme="majorHAnsi"/>
                <w:lang w:val="en-AU"/>
              </w:rPr>
            </w:pPr>
            <w:r w:rsidRPr="00CC1B48">
              <w:rPr>
                <w:rFonts w:cstheme="majorHAnsi"/>
                <w:lang w:val="en-AU"/>
              </w:rPr>
              <w:t>Interestingly, even if individuals merely set work goals that are not related to safety, they are still more likely to behave safely (Leung et al., 2012).</w:t>
            </w:r>
          </w:p>
        </w:tc>
      </w:tr>
    </w:tbl>
    <w:p w14:paraId="2E4EECCA" w14:textId="464FF293" w:rsidR="00CB6193" w:rsidRDefault="00CB6193" w:rsidP="009F657B">
      <w:pPr>
        <w:pStyle w:val="Heading1"/>
        <w:rPr>
          <w:lang w:val="en-AU"/>
        </w:rPr>
      </w:pPr>
    </w:p>
    <w:p w14:paraId="3D755E71" w14:textId="77777777" w:rsidR="00250BD9" w:rsidRPr="00250BD9" w:rsidRDefault="00250BD9" w:rsidP="00250BD9">
      <w:pPr>
        <w:rPr>
          <w:lang w:val="en-AU"/>
        </w:rPr>
      </w:pPr>
    </w:p>
    <w:p w14:paraId="24DEDFB8" w14:textId="77777777" w:rsidR="00CB6193" w:rsidRPr="00C36B2A" w:rsidRDefault="00CB6193" w:rsidP="009F657B">
      <w:pPr>
        <w:pStyle w:val="Heading1"/>
        <w:rPr>
          <w:lang w:val="en-AU"/>
        </w:rPr>
      </w:pPr>
      <w:r w:rsidRPr="00C36B2A">
        <w:rPr>
          <w:lang w:val="en-AU"/>
        </w:rPr>
        <w:t>Leadership</w:t>
      </w:r>
    </w:p>
    <w:p w14:paraId="1539639F" w14:textId="77777777" w:rsidR="00CB6193" w:rsidRPr="00C36B2A" w:rsidRDefault="00CB6193" w:rsidP="00CB6193">
      <w:pPr>
        <w:spacing w:line="276" w:lineRule="auto"/>
        <w:rPr>
          <w:rFonts w:cstheme="majorHAnsi"/>
          <w:lang w:val="en-AU"/>
        </w:rPr>
      </w:pPr>
    </w:p>
    <w:p w14:paraId="55AF9311" w14:textId="7DE1AB89" w:rsidR="00CB6193" w:rsidRPr="00C36B2A" w:rsidRDefault="00CB6193" w:rsidP="00CB6193">
      <w:pPr>
        <w:spacing w:line="276" w:lineRule="auto"/>
        <w:rPr>
          <w:rFonts w:cstheme="majorHAnsi"/>
          <w:lang w:val="en-AU"/>
        </w:rPr>
      </w:pPr>
      <w:r w:rsidRPr="00C36B2A">
        <w:rPr>
          <w:rFonts w:cstheme="majorHAnsi"/>
          <w:lang w:val="en-AU"/>
        </w:rPr>
        <w:t xml:space="preserve">To empower other individuals, supervisors need to demonstrate appropriate leadership behaviours.  Indeed, as many studies reveal, the leadership style of supervisors greatly affects the safety of teams (Inness et al., 2010; </w:t>
      </w:r>
      <w:proofErr w:type="spellStart"/>
      <w:r w:rsidRPr="00C36B2A">
        <w:rPr>
          <w:rFonts w:cstheme="majorHAnsi"/>
          <w:lang w:val="en-AU"/>
        </w:rPr>
        <w:t>Kelloway</w:t>
      </w:r>
      <w:proofErr w:type="spellEnd"/>
      <w:r w:rsidRPr="00C36B2A">
        <w:rPr>
          <w:rFonts w:cstheme="majorHAnsi"/>
          <w:lang w:val="en-AU"/>
        </w:rPr>
        <w:t xml:space="preserve"> et al., 2006; Watson et al., 2005; Yang et al., 2020).   The following table outlines some leadership behaviours that tend to promote safety.  </w:t>
      </w:r>
    </w:p>
    <w:p w14:paraId="4DCBB15F" w14:textId="099A21A0" w:rsidR="00CB6193" w:rsidRDefault="00CB6193" w:rsidP="00CB6193">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648"/>
        <w:gridCol w:w="4536"/>
      </w:tblGrid>
      <w:tr w:rsidR="009F657B" w:rsidRPr="00C36B2A" w14:paraId="6F9F39C9" w14:textId="77777777" w:rsidTr="00DC7F86">
        <w:tc>
          <w:tcPr>
            <w:tcW w:w="4648" w:type="dxa"/>
            <w:shd w:val="clear" w:color="auto" w:fill="C6EBD6" w:themeFill="accent5" w:themeFillTint="66"/>
          </w:tcPr>
          <w:p w14:paraId="5FB04325" w14:textId="77777777" w:rsidR="009F657B" w:rsidRPr="00C36B2A" w:rsidRDefault="009F657B" w:rsidP="00DC7F86">
            <w:pPr>
              <w:spacing w:line="276" w:lineRule="auto"/>
              <w:jc w:val="center"/>
              <w:rPr>
                <w:rFonts w:cstheme="majorHAnsi"/>
                <w:lang w:val="en-AU"/>
              </w:rPr>
            </w:pPr>
            <w:r w:rsidRPr="00C36B2A">
              <w:rPr>
                <w:rFonts w:cstheme="majorHAnsi"/>
                <w:lang w:val="en-AU"/>
              </w:rPr>
              <w:t>Recommendation</w:t>
            </w:r>
          </w:p>
        </w:tc>
        <w:tc>
          <w:tcPr>
            <w:tcW w:w="4536" w:type="dxa"/>
            <w:shd w:val="clear" w:color="auto" w:fill="C6EBD6" w:themeFill="accent5" w:themeFillTint="66"/>
          </w:tcPr>
          <w:p w14:paraId="080CD6F5" w14:textId="77777777" w:rsidR="009F657B" w:rsidRPr="00C36B2A" w:rsidRDefault="009F657B" w:rsidP="00DC7F86">
            <w:pPr>
              <w:spacing w:line="276" w:lineRule="auto"/>
              <w:jc w:val="center"/>
              <w:rPr>
                <w:rFonts w:cstheme="majorHAnsi"/>
                <w:lang w:val="en-AU"/>
              </w:rPr>
            </w:pPr>
            <w:r w:rsidRPr="00C36B2A">
              <w:rPr>
                <w:rFonts w:cstheme="majorHAnsi"/>
                <w:lang w:val="en-AU"/>
              </w:rPr>
              <w:t>Rationale</w:t>
            </w:r>
          </w:p>
        </w:tc>
      </w:tr>
      <w:tr w:rsidR="009F657B" w:rsidRPr="00C36B2A" w14:paraId="77295CB6" w14:textId="77777777" w:rsidTr="00DC7F86">
        <w:tc>
          <w:tcPr>
            <w:tcW w:w="4648" w:type="dxa"/>
            <w:shd w:val="clear" w:color="auto" w:fill="D9D9D9" w:themeFill="background1" w:themeFillShade="D9"/>
          </w:tcPr>
          <w:p w14:paraId="4A78CA7B" w14:textId="1B606608" w:rsidR="009F657B" w:rsidRPr="00C36B2A" w:rsidRDefault="00EF2D03" w:rsidP="00DC7F86">
            <w:pPr>
              <w:spacing w:line="276" w:lineRule="auto"/>
              <w:rPr>
                <w:rFonts w:cstheme="majorHAnsi"/>
                <w:lang w:val="en-AU"/>
              </w:rPr>
            </w:pPr>
            <w:r>
              <w:rPr>
                <w:rFonts w:cstheme="majorHAnsi"/>
                <w:lang w:val="en-AU"/>
              </w:rPr>
              <w:t xml:space="preserve">To </w:t>
            </w:r>
            <w:r w:rsidR="009F657B" w:rsidRPr="009F657B">
              <w:rPr>
                <w:rFonts w:cstheme="majorHAnsi"/>
                <w:lang w:val="en-AU"/>
              </w:rPr>
              <w:t>model safe behaviours</w:t>
            </w:r>
            <w:r>
              <w:rPr>
                <w:rFonts w:cstheme="majorHAnsi"/>
                <w:lang w:val="en-AU"/>
              </w:rPr>
              <w:t xml:space="preserve"> effectively, supervisors </w:t>
            </w:r>
            <w:r w:rsidR="009F657B" w:rsidRPr="009F657B">
              <w:rPr>
                <w:rFonts w:cstheme="majorHAnsi"/>
                <w:lang w:val="en-AU"/>
              </w:rPr>
              <w:t>might</w:t>
            </w:r>
            <w:r>
              <w:rPr>
                <w:rFonts w:cstheme="majorHAnsi"/>
                <w:lang w:val="en-AU"/>
              </w:rPr>
              <w:t xml:space="preserve"> sometimes</w:t>
            </w:r>
            <w:r w:rsidR="009F657B" w:rsidRPr="009F657B">
              <w:rPr>
                <w:rFonts w:cstheme="majorHAnsi"/>
                <w:lang w:val="en-AU"/>
              </w:rPr>
              <w:t xml:space="preserve"> complete safety tasks that are </w:t>
            </w:r>
            <w:proofErr w:type="gramStart"/>
            <w:r w:rsidR="009F657B" w:rsidRPr="009F657B">
              <w:rPr>
                <w:rFonts w:cstheme="majorHAnsi"/>
                <w:lang w:val="en-AU"/>
              </w:rPr>
              <w:t>actually assigned</w:t>
            </w:r>
            <w:proofErr w:type="gramEnd"/>
            <w:r w:rsidR="009F657B" w:rsidRPr="009F657B">
              <w:rPr>
                <w:rFonts w:cstheme="majorHAnsi"/>
                <w:lang w:val="en-AU"/>
              </w:rPr>
              <w:t xml:space="preserve"> to someone else   </w:t>
            </w:r>
          </w:p>
        </w:tc>
        <w:tc>
          <w:tcPr>
            <w:tcW w:w="4536" w:type="dxa"/>
            <w:shd w:val="clear" w:color="auto" w:fill="D9D9D9" w:themeFill="background1" w:themeFillShade="D9"/>
          </w:tcPr>
          <w:p w14:paraId="4CCFC4FE" w14:textId="77777777" w:rsidR="00DC3020" w:rsidRDefault="0097246C" w:rsidP="00DC7F86">
            <w:pPr>
              <w:pStyle w:val="ListParagraph"/>
              <w:numPr>
                <w:ilvl w:val="0"/>
                <w:numId w:val="32"/>
              </w:numPr>
              <w:spacing w:line="276" w:lineRule="auto"/>
              <w:rPr>
                <w:rFonts w:cstheme="majorHAnsi"/>
                <w:lang w:val="en-AU"/>
              </w:rPr>
            </w:pPr>
            <w:r w:rsidRPr="0097246C">
              <w:rPr>
                <w:rFonts w:cstheme="majorHAnsi"/>
                <w:lang w:val="en-AU"/>
              </w:rPr>
              <w:t xml:space="preserve">This behaviour is one feature of a leadership style called transformational leadership for safety.  This leadership style has been shown to encourage safe behaviour, to increase compliance, and to reduce the incidence of accidents (Conchie, 2013; </w:t>
            </w:r>
            <w:proofErr w:type="spellStart"/>
            <w:r w:rsidRPr="0097246C">
              <w:rPr>
                <w:rFonts w:cstheme="majorHAnsi"/>
                <w:lang w:val="en-AU"/>
              </w:rPr>
              <w:t>Kelloway</w:t>
            </w:r>
            <w:proofErr w:type="spellEnd"/>
            <w:r w:rsidRPr="0097246C">
              <w:rPr>
                <w:rFonts w:cstheme="majorHAnsi"/>
                <w:lang w:val="en-AU"/>
              </w:rPr>
              <w:t xml:space="preserve"> et al., 2006; Inness et al., 2010; see also Halbesleben et al., 2013).  </w:t>
            </w:r>
          </w:p>
          <w:p w14:paraId="16FCB145" w14:textId="02A9F2AF" w:rsidR="009F657B" w:rsidRPr="00C36B2A" w:rsidRDefault="0097246C" w:rsidP="00DC7F86">
            <w:pPr>
              <w:pStyle w:val="ListParagraph"/>
              <w:numPr>
                <w:ilvl w:val="0"/>
                <w:numId w:val="32"/>
              </w:numPr>
              <w:spacing w:line="276" w:lineRule="auto"/>
              <w:rPr>
                <w:rFonts w:cstheme="majorHAnsi"/>
                <w:lang w:val="en-AU"/>
              </w:rPr>
            </w:pPr>
            <w:r w:rsidRPr="0097246C">
              <w:rPr>
                <w:rFonts w:cstheme="majorHAnsi"/>
                <w:lang w:val="en-AU"/>
              </w:rPr>
              <w:t>In contrast, if supervisors do not demonstrate safe practices, other individuals often feel that performance is prioritized over safety (Stride et al., 2013)</w:t>
            </w:r>
          </w:p>
        </w:tc>
      </w:tr>
      <w:tr w:rsidR="0097246C" w:rsidRPr="00C36B2A" w14:paraId="4A92C0B1" w14:textId="77777777" w:rsidTr="00DC7F86">
        <w:tc>
          <w:tcPr>
            <w:tcW w:w="4648" w:type="dxa"/>
            <w:shd w:val="clear" w:color="auto" w:fill="D9D9D9" w:themeFill="background1" w:themeFillShade="D9"/>
          </w:tcPr>
          <w:p w14:paraId="2A55E235" w14:textId="5FF2FAD9" w:rsidR="0097246C" w:rsidRPr="009F657B" w:rsidRDefault="00DC3020" w:rsidP="00DC3020">
            <w:pPr>
              <w:spacing w:line="276" w:lineRule="auto"/>
              <w:rPr>
                <w:rFonts w:cstheme="majorHAnsi"/>
                <w:lang w:val="en-AU"/>
              </w:rPr>
            </w:pPr>
            <w:r w:rsidRPr="00C36B2A">
              <w:rPr>
                <w:rFonts w:cstheme="majorHAnsi"/>
                <w:lang w:val="en-AU"/>
              </w:rPr>
              <w:t>Supervisors should encourage candidates and other people they supervisor to suggest how the team could operate more safely</w:t>
            </w:r>
            <w:r>
              <w:rPr>
                <w:rFonts w:cstheme="majorHAnsi"/>
                <w:lang w:val="en-AU"/>
              </w:rPr>
              <w:t xml:space="preserve">.  </w:t>
            </w:r>
            <w:proofErr w:type="gramStart"/>
            <w:r>
              <w:rPr>
                <w:rFonts w:cstheme="majorHAnsi"/>
                <w:lang w:val="en-AU"/>
              </w:rPr>
              <w:t>I</w:t>
            </w:r>
            <w:r w:rsidRPr="00C36B2A">
              <w:rPr>
                <w:rFonts w:cstheme="majorHAnsi"/>
                <w:lang w:val="en-AU"/>
              </w:rPr>
              <w:t xml:space="preserve">n particular, </w:t>
            </w:r>
            <w:r>
              <w:rPr>
                <w:rFonts w:cstheme="majorHAnsi"/>
                <w:lang w:val="en-AU"/>
              </w:rPr>
              <w:t>supervisors</w:t>
            </w:r>
            <w:proofErr w:type="gramEnd"/>
            <w:r>
              <w:rPr>
                <w:rFonts w:cstheme="majorHAnsi"/>
                <w:lang w:val="en-AU"/>
              </w:rPr>
              <w:t xml:space="preserve"> should first</w:t>
            </w:r>
            <w:r w:rsidR="00306880">
              <w:rPr>
                <w:rFonts w:cstheme="majorHAnsi"/>
                <w:lang w:val="en-AU"/>
              </w:rPr>
              <w:t xml:space="preserve"> convey the belief </w:t>
            </w:r>
            <w:r w:rsidRPr="00C36B2A">
              <w:rPr>
                <w:rFonts w:cstheme="majorHAnsi"/>
                <w:lang w:val="en-AU"/>
              </w:rPr>
              <w:t>t</w:t>
            </w:r>
            <w:r w:rsidR="00306880">
              <w:rPr>
                <w:rFonts w:cstheme="majorHAnsi"/>
                <w:lang w:val="en-AU"/>
              </w:rPr>
              <w:t>hat many people underestimate the importance and consequences of safety.</w:t>
            </w:r>
            <w:r>
              <w:rPr>
                <w:rFonts w:cstheme="majorHAnsi"/>
                <w:lang w:val="en-AU"/>
              </w:rPr>
              <w:t xml:space="preserve"> Next, </w:t>
            </w:r>
            <w:r w:rsidR="00525692">
              <w:rPr>
                <w:rFonts w:cstheme="majorHAnsi"/>
                <w:lang w:val="en-AU"/>
              </w:rPr>
              <w:t xml:space="preserve">they </w:t>
            </w:r>
            <w:r w:rsidRPr="00C36B2A">
              <w:rPr>
                <w:rFonts w:cstheme="majorHAnsi"/>
                <w:lang w:val="en-AU"/>
              </w:rPr>
              <w:t>should encourage and recognize creative and innovation solutions to improve safety</w:t>
            </w:r>
            <w:r>
              <w:rPr>
                <w:rFonts w:cstheme="majorHAnsi"/>
                <w:lang w:val="en-AU"/>
              </w:rPr>
              <w:t>—as well as suggest novel solutions</w:t>
            </w:r>
          </w:p>
        </w:tc>
        <w:tc>
          <w:tcPr>
            <w:tcW w:w="4536" w:type="dxa"/>
            <w:shd w:val="clear" w:color="auto" w:fill="D9D9D9" w:themeFill="background1" w:themeFillShade="D9"/>
          </w:tcPr>
          <w:p w14:paraId="7BA3527C" w14:textId="77777777" w:rsidR="00525692" w:rsidRPr="00525692" w:rsidRDefault="00525692" w:rsidP="00525692">
            <w:pPr>
              <w:pStyle w:val="ListParagraph"/>
              <w:numPr>
                <w:ilvl w:val="0"/>
                <w:numId w:val="34"/>
              </w:numPr>
              <w:spacing w:line="276" w:lineRule="auto"/>
              <w:rPr>
                <w:rFonts w:cstheme="majorHAnsi"/>
                <w:lang w:val="en-AU"/>
              </w:rPr>
            </w:pPr>
            <w:r w:rsidRPr="00525692">
              <w:rPr>
                <w:rFonts w:cstheme="majorHAnsi"/>
                <w:lang w:val="en-AU"/>
              </w:rPr>
              <w:t xml:space="preserve">This behaviour is another feature of transformational leadership for safety.  </w:t>
            </w:r>
          </w:p>
          <w:p w14:paraId="3BD3E205" w14:textId="77777777" w:rsidR="0097246C" w:rsidRPr="00525692" w:rsidRDefault="0097246C" w:rsidP="00525692">
            <w:pPr>
              <w:spacing w:line="276" w:lineRule="auto"/>
              <w:rPr>
                <w:rFonts w:cstheme="majorHAnsi"/>
                <w:lang w:val="en-AU"/>
              </w:rPr>
            </w:pPr>
          </w:p>
        </w:tc>
      </w:tr>
      <w:tr w:rsidR="0097246C" w:rsidRPr="00C36B2A" w14:paraId="0B166B05" w14:textId="77777777" w:rsidTr="00DC7F86">
        <w:tc>
          <w:tcPr>
            <w:tcW w:w="4648" w:type="dxa"/>
            <w:shd w:val="clear" w:color="auto" w:fill="D9D9D9" w:themeFill="background1" w:themeFillShade="D9"/>
          </w:tcPr>
          <w:p w14:paraId="18BC813E" w14:textId="2B52CF83" w:rsidR="0097246C" w:rsidRPr="009F657B" w:rsidRDefault="00A76F8F" w:rsidP="0097246C">
            <w:pPr>
              <w:spacing w:line="276" w:lineRule="auto"/>
              <w:rPr>
                <w:rFonts w:cstheme="majorHAnsi"/>
                <w:lang w:val="en-AU"/>
              </w:rPr>
            </w:pPr>
            <w:r w:rsidRPr="00A76F8F">
              <w:rPr>
                <w:rFonts w:cstheme="majorHAnsi"/>
                <w:lang w:val="en-AU"/>
              </w:rPr>
              <w:t>Supervisors should identify opportunities in which they help candidates and other people they supervise to a greater extent than anticipated. They might locate information or complete some other tasks that assists these individuals.</w:t>
            </w:r>
          </w:p>
        </w:tc>
        <w:tc>
          <w:tcPr>
            <w:tcW w:w="4536" w:type="dxa"/>
            <w:shd w:val="clear" w:color="auto" w:fill="D9D9D9" w:themeFill="background1" w:themeFillShade="D9"/>
          </w:tcPr>
          <w:p w14:paraId="12B6D502" w14:textId="56EBAF1A" w:rsidR="0097246C" w:rsidRPr="00A76F8F" w:rsidRDefault="00A76F8F" w:rsidP="00A76F8F">
            <w:pPr>
              <w:pStyle w:val="ListParagraph"/>
              <w:numPr>
                <w:ilvl w:val="0"/>
                <w:numId w:val="34"/>
              </w:numPr>
              <w:spacing w:line="276" w:lineRule="auto"/>
              <w:rPr>
                <w:rFonts w:cstheme="majorHAnsi"/>
                <w:lang w:val="en-AU"/>
              </w:rPr>
            </w:pPr>
            <w:r w:rsidRPr="00A76F8F">
              <w:rPr>
                <w:rFonts w:cstheme="majorHAnsi"/>
                <w:lang w:val="en-AU"/>
              </w:rPr>
              <w:t xml:space="preserve">The ensuing sense of gratitude has been shown to promote greater integrity (e.g., </w:t>
            </w:r>
            <w:proofErr w:type="spellStart"/>
            <w:r w:rsidRPr="00A76F8F">
              <w:rPr>
                <w:rFonts w:cstheme="majorHAnsi"/>
                <w:lang w:val="en-AU"/>
              </w:rPr>
              <w:t>DeSteno</w:t>
            </w:r>
            <w:proofErr w:type="spellEnd"/>
            <w:r w:rsidRPr="00A76F8F">
              <w:rPr>
                <w:rFonts w:cstheme="majorHAnsi"/>
                <w:lang w:val="en-AU"/>
              </w:rPr>
              <w:t xml:space="preserve"> et al., 2019), potentially increasing the likelihood of safe practices.</w:t>
            </w:r>
          </w:p>
        </w:tc>
      </w:tr>
    </w:tbl>
    <w:p w14:paraId="7908BFBA" w14:textId="77777777" w:rsidR="009F657B" w:rsidRPr="00C36B2A" w:rsidRDefault="009F657B" w:rsidP="00CB6193">
      <w:pPr>
        <w:spacing w:line="276" w:lineRule="auto"/>
        <w:rPr>
          <w:rFonts w:cstheme="majorHAnsi"/>
          <w:lang w:val="en-AU"/>
        </w:rPr>
      </w:pPr>
    </w:p>
    <w:p w14:paraId="7B0B4777" w14:textId="77777777" w:rsidR="00CB6193" w:rsidRPr="00C36B2A" w:rsidRDefault="00CB6193" w:rsidP="00CB6193">
      <w:pPr>
        <w:spacing w:line="276" w:lineRule="auto"/>
        <w:rPr>
          <w:rFonts w:cstheme="majorHAnsi"/>
          <w:lang w:val="en-AU"/>
        </w:rPr>
      </w:pPr>
    </w:p>
    <w:p w14:paraId="21BEB972" w14:textId="77777777" w:rsidR="00CB6193" w:rsidRPr="00C36B2A" w:rsidRDefault="00CB6193" w:rsidP="00CB6193">
      <w:pPr>
        <w:spacing w:line="276" w:lineRule="auto"/>
        <w:rPr>
          <w:rFonts w:cstheme="majorHAnsi"/>
          <w:lang w:val="en-AU"/>
        </w:rPr>
      </w:pPr>
    </w:p>
    <w:p w14:paraId="2CDD17AB" w14:textId="77777777" w:rsidR="00CB6193" w:rsidRPr="00C36B2A" w:rsidRDefault="00CB6193" w:rsidP="00250BD9">
      <w:pPr>
        <w:pStyle w:val="Heading1"/>
        <w:rPr>
          <w:lang w:val="en-AU"/>
        </w:rPr>
      </w:pPr>
      <w:r w:rsidRPr="00C36B2A">
        <w:rPr>
          <w:lang w:val="en-AU"/>
        </w:rPr>
        <w:t>Stress management</w:t>
      </w:r>
    </w:p>
    <w:p w14:paraId="38E1B903" w14:textId="77777777" w:rsidR="00CB6193" w:rsidRPr="00C36B2A" w:rsidRDefault="00CB6193" w:rsidP="00CB6193">
      <w:pPr>
        <w:spacing w:line="276" w:lineRule="auto"/>
        <w:rPr>
          <w:rFonts w:cstheme="majorHAnsi"/>
          <w:lang w:val="en-AU"/>
        </w:rPr>
      </w:pPr>
    </w:p>
    <w:p w14:paraId="46838347" w14:textId="65D9FE72" w:rsidR="00CB6193" w:rsidRPr="00C36B2A" w:rsidRDefault="00CB6193" w:rsidP="00CB6193">
      <w:pPr>
        <w:spacing w:line="276" w:lineRule="auto"/>
        <w:rPr>
          <w:rFonts w:cstheme="majorHAnsi"/>
          <w:lang w:val="en-AU"/>
        </w:rPr>
      </w:pPr>
      <w:r w:rsidRPr="00C36B2A">
        <w:rPr>
          <w:rFonts w:cstheme="majorHAnsi"/>
          <w:lang w:val="en-AU"/>
        </w:rPr>
        <w:t xml:space="preserve">Despite the benefits of these leadership styles, some of the most inspiring supervisors </w:t>
      </w:r>
      <w:proofErr w:type="gramStart"/>
      <w:r w:rsidRPr="00C36B2A">
        <w:rPr>
          <w:rFonts w:cstheme="majorHAnsi"/>
          <w:lang w:val="en-AU"/>
        </w:rPr>
        <w:t>actually exacerbate</w:t>
      </w:r>
      <w:proofErr w:type="gramEnd"/>
      <w:r w:rsidRPr="00C36B2A">
        <w:rPr>
          <w:rFonts w:cstheme="majorHAnsi"/>
          <w:lang w:val="en-AU"/>
        </w:rPr>
        <w:t xml:space="preserve"> problems with safety.  The reason is that inspiring, ambitious leaders occasionally magnify the stress and burnout that individuals experience—and both stress (e.g., Christian et al., 2009; Clarke, 2012) and burnout (e.g., </w:t>
      </w:r>
      <w:proofErr w:type="spellStart"/>
      <w:r w:rsidRPr="00C36B2A">
        <w:rPr>
          <w:rFonts w:cstheme="majorHAnsi"/>
          <w:lang w:val="en-AU"/>
        </w:rPr>
        <w:t>Nahrgang</w:t>
      </w:r>
      <w:proofErr w:type="spellEnd"/>
      <w:r w:rsidRPr="00C36B2A">
        <w:rPr>
          <w:rFonts w:cstheme="majorHAnsi"/>
          <w:lang w:val="en-AU"/>
        </w:rPr>
        <w:t xml:space="preserve"> et al., 2011; see also Dai et al., 2015) are major sources of ineffective safety behaviour. </w:t>
      </w:r>
      <w:r w:rsidR="00250BD9" w:rsidRPr="00C36B2A">
        <w:rPr>
          <w:rFonts w:cstheme="majorHAnsi"/>
          <w:lang w:val="en-AU"/>
        </w:rPr>
        <w:t>In</w:t>
      </w:r>
      <w:r w:rsidR="00250BD9">
        <w:rPr>
          <w:rFonts w:cstheme="majorHAnsi"/>
          <w:lang w:val="en-AU"/>
        </w:rPr>
        <w:t xml:space="preserve"> contrast</w:t>
      </w:r>
      <w:r w:rsidR="00250BD9" w:rsidRPr="00C36B2A">
        <w:rPr>
          <w:rFonts w:cstheme="majorHAnsi"/>
          <w:lang w:val="en-AU"/>
        </w:rPr>
        <w:t xml:space="preserve">, supervisors who </w:t>
      </w:r>
      <w:r w:rsidR="00250BD9">
        <w:rPr>
          <w:rFonts w:cstheme="majorHAnsi"/>
          <w:lang w:val="en-AU"/>
        </w:rPr>
        <w:t xml:space="preserve">diminish stress and burnout can stem accidents.  Indeed, as one study revealed, supervisor </w:t>
      </w:r>
      <w:r w:rsidR="00250BD9" w:rsidRPr="00C36B2A">
        <w:rPr>
          <w:rFonts w:cstheme="majorHAnsi"/>
          <w:lang w:val="en-AU"/>
        </w:rPr>
        <w:t xml:space="preserve">who </w:t>
      </w:r>
      <w:r w:rsidR="00250BD9">
        <w:rPr>
          <w:rFonts w:cstheme="majorHAnsi"/>
          <w:lang w:val="en-AU"/>
        </w:rPr>
        <w:t xml:space="preserve">were especially </w:t>
      </w:r>
      <w:r w:rsidR="00250BD9" w:rsidRPr="00C36B2A">
        <w:rPr>
          <w:rFonts w:cstheme="majorHAnsi"/>
          <w:lang w:val="en-AU"/>
        </w:rPr>
        <w:t>supportive at one time enhance</w:t>
      </w:r>
      <w:r w:rsidR="00250BD9">
        <w:rPr>
          <w:rFonts w:cstheme="majorHAnsi"/>
          <w:lang w:val="en-AU"/>
        </w:rPr>
        <w:t>d</w:t>
      </w:r>
      <w:r w:rsidR="00250BD9" w:rsidRPr="00C36B2A">
        <w:rPr>
          <w:rFonts w:cstheme="majorHAnsi"/>
          <w:lang w:val="en-AU"/>
        </w:rPr>
        <w:t xml:space="preserve"> safety up to 18 months later (Parker, Axtell, &amp; Turner, 2001).  </w:t>
      </w:r>
      <w:r w:rsidRPr="00C36B2A">
        <w:rPr>
          <w:rFonts w:cstheme="majorHAnsi"/>
          <w:lang w:val="en-AU"/>
        </w:rPr>
        <w:t xml:space="preserve">The following table itemizes some practices that supervisors should consider </w:t>
      </w:r>
      <w:proofErr w:type="gramStart"/>
      <w:r w:rsidRPr="00C36B2A">
        <w:rPr>
          <w:rFonts w:cstheme="majorHAnsi"/>
          <w:lang w:val="en-AU"/>
        </w:rPr>
        <w:t>to</w:t>
      </w:r>
      <w:r w:rsidR="00250BD9">
        <w:rPr>
          <w:rFonts w:cstheme="majorHAnsi"/>
          <w:lang w:val="en-AU"/>
        </w:rPr>
        <w:t xml:space="preserve"> diminish</w:t>
      </w:r>
      <w:proofErr w:type="gramEnd"/>
      <w:r w:rsidRPr="00C36B2A">
        <w:rPr>
          <w:rFonts w:cstheme="majorHAnsi"/>
          <w:lang w:val="en-AU"/>
        </w:rPr>
        <w:t xml:space="preserve"> stress and to prevent this burnout</w:t>
      </w:r>
      <w:r w:rsidR="00250BD9">
        <w:rPr>
          <w:rFonts w:cstheme="majorHAnsi"/>
          <w:lang w:val="en-AU"/>
        </w:rPr>
        <w:t xml:space="preserve"> in the people they supervise</w:t>
      </w:r>
      <w:r w:rsidRPr="00C36B2A">
        <w:rPr>
          <w:rFonts w:cstheme="majorHAnsi"/>
          <w:lang w:val="en-AU"/>
        </w:rPr>
        <w:t xml:space="preserve">.  </w:t>
      </w:r>
    </w:p>
    <w:p w14:paraId="3E5016CE" w14:textId="77777777" w:rsidR="00CB6193" w:rsidRPr="00C36B2A" w:rsidRDefault="00CB6193" w:rsidP="00CB6193">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648"/>
        <w:gridCol w:w="4536"/>
      </w:tblGrid>
      <w:tr w:rsidR="0082680B" w:rsidRPr="00C36B2A" w14:paraId="0127B9CC" w14:textId="77777777" w:rsidTr="00DC7F86">
        <w:tc>
          <w:tcPr>
            <w:tcW w:w="4648" w:type="dxa"/>
            <w:shd w:val="clear" w:color="auto" w:fill="C6EBD6" w:themeFill="accent5" w:themeFillTint="66"/>
          </w:tcPr>
          <w:p w14:paraId="74887ED9" w14:textId="77777777" w:rsidR="0082680B" w:rsidRPr="00C36B2A" w:rsidRDefault="0082680B" w:rsidP="00DC7F86">
            <w:pPr>
              <w:spacing w:line="276" w:lineRule="auto"/>
              <w:jc w:val="center"/>
              <w:rPr>
                <w:rFonts w:cstheme="majorHAnsi"/>
                <w:lang w:val="en-AU"/>
              </w:rPr>
            </w:pPr>
            <w:r w:rsidRPr="00C36B2A">
              <w:rPr>
                <w:rFonts w:cstheme="majorHAnsi"/>
                <w:lang w:val="en-AU"/>
              </w:rPr>
              <w:t>Recommendation</w:t>
            </w:r>
          </w:p>
        </w:tc>
        <w:tc>
          <w:tcPr>
            <w:tcW w:w="4536" w:type="dxa"/>
            <w:shd w:val="clear" w:color="auto" w:fill="C6EBD6" w:themeFill="accent5" w:themeFillTint="66"/>
          </w:tcPr>
          <w:p w14:paraId="337741E5" w14:textId="77777777" w:rsidR="0082680B" w:rsidRPr="00C36B2A" w:rsidRDefault="0082680B" w:rsidP="00DC7F86">
            <w:pPr>
              <w:spacing w:line="276" w:lineRule="auto"/>
              <w:jc w:val="center"/>
              <w:rPr>
                <w:rFonts w:cstheme="majorHAnsi"/>
                <w:lang w:val="en-AU"/>
              </w:rPr>
            </w:pPr>
            <w:r w:rsidRPr="00C36B2A">
              <w:rPr>
                <w:rFonts w:cstheme="majorHAnsi"/>
                <w:lang w:val="en-AU"/>
              </w:rPr>
              <w:t>Rationale</w:t>
            </w:r>
          </w:p>
        </w:tc>
      </w:tr>
      <w:tr w:rsidR="0082680B" w:rsidRPr="00C36B2A" w14:paraId="6EA78912" w14:textId="77777777" w:rsidTr="00DC7F86">
        <w:tc>
          <w:tcPr>
            <w:tcW w:w="4648" w:type="dxa"/>
            <w:shd w:val="clear" w:color="auto" w:fill="D9D9D9" w:themeFill="background1" w:themeFillShade="D9"/>
          </w:tcPr>
          <w:p w14:paraId="6C0F8526" w14:textId="76DA66E4" w:rsidR="0082680B" w:rsidRPr="00C36B2A" w:rsidRDefault="0082680B" w:rsidP="00DC7F86">
            <w:pPr>
              <w:spacing w:line="276" w:lineRule="auto"/>
              <w:rPr>
                <w:rFonts w:cstheme="majorHAnsi"/>
                <w:lang w:val="en-AU"/>
              </w:rPr>
            </w:pPr>
            <w:r w:rsidRPr="0082680B">
              <w:rPr>
                <w:rFonts w:cstheme="majorHAnsi"/>
                <w:lang w:val="en-AU"/>
              </w:rPr>
              <w:t>Supervisors should ask candidates and other people they supervise to identify and</w:t>
            </w:r>
            <w:r>
              <w:rPr>
                <w:rFonts w:cstheme="majorHAnsi"/>
                <w:lang w:val="en-AU"/>
              </w:rPr>
              <w:t xml:space="preserve"> to</w:t>
            </w:r>
            <w:r w:rsidRPr="0082680B">
              <w:rPr>
                <w:rFonts w:cstheme="majorHAnsi"/>
                <w:lang w:val="en-AU"/>
              </w:rPr>
              <w:t xml:space="preserve"> record the obstacles the experience</w:t>
            </w:r>
            <w:r>
              <w:rPr>
                <w:rFonts w:cstheme="majorHAnsi"/>
                <w:lang w:val="en-AU"/>
              </w:rPr>
              <w:t xml:space="preserve"> in their research—obstacles</w:t>
            </w:r>
            <w:r w:rsidRPr="0082680B">
              <w:rPr>
                <w:rFonts w:cstheme="majorHAnsi"/>
                <w:lang w:val="en-AU"/>
              </w:rPr>
              <w:t xml:space="preserve"> that impede their progress and satisfaction in their research</w:t>
            </w:r>
            <w:r>
              <w:rPr>
                <w:rFonts w:cstheme="majorHAnsi"/>
                <w:lang w:val="en-AU"/>
              </w:rPr>
              <w:t xml:space="preserve">, </w:t>
            </w:r>
            <w:r w:rsidRPr="0082680B">
              <w:rPr>
                <w:rFonts w:cstheme="majorHAnsi"/>
                <w:lang w:val="en-AU"/>
              </w:rPr>
              <w:t xml:space="preserve">such as competing goals or redundant procedures.  Every few months, they should brainstorm opportunities to address some of these obstacles.  </w:t>
            </w:r>
          </w:p>
        </w:tc>
        <w:tc>
          <w:tcPr>
            <w:tcW w:w="4536" w:type="dxa"/>
            <w:shd w:val="clear" w:color="auto" w:fill="D9D9D9" w:themeFill="background1" w:themeFillShade="D9"/>
          </w:tcPr>
          <w:p w14:paraId="5E65B8F8" w14:textId="77777777" w:rsidR="0082680B" w:rsidRPr="0082680B" w:rsidRDefault="0082680B" w:rsidP="0082680B">
            <w:pPr>
              <w:pStyle w:val="ListParagraph"/>
              <w:numPr>
                <w:ilvl w:val="0"/>
                <w:numId w:val="34"/>
              </w:numPr>
              <w:spacing w:line="276" w:lineRule="auto"/>
              <w:rPr>
                <w:rFonts w:cstheme="majorHAnsi"/>
                <w:lang w:val="en-AU"/>
              </w:rPr>
            </w:pPr>
            <w:r w:rsidRPr="0082680B">
              <w:rPr>
                <w:rFonts w:cstheme="majorHAnsi"/>
                <w:lang w:val="en-AU"/>
              </w:rPr>
              <w:t xml:space="preserve">Obstacles that impede progress and satisfaction, sometimes called hindrances in the literature, diminish compliance with safety reduces, decrease participation in initiatives that enhances safety, and increase the incidence of injuries (Clarke, 2012)   </w:t>
            </w:r>
          </w:p>
          <w:p w14:paraId="3C2EE8D8" w14:textId="5F4B14B1" w:rsidR="0082680B" w:rsidRPr="0082680B" w:rsidRDefault="0082680B" w:rsidP="0082680B">
            <w:pPr>
              <w:spacing w:line="276" w:lineRule="auto"/>
              <w:rPr>
                <w:rFonts w:cstheme="majorHAnsi"/>
                <w:lang w:val="en-AU"/>
              </w:rPr>
            </w:pPr>
          </w:p>
        </w:tc>
      </w:tr>
      <w:tr w:rsidR="0082680B" w:rsidRPr="00C36B2A" w14:paraId="4D3F9636" w14:textId="77777777" w:rsidTr="00DC7F86">
        <w:tc>
          <w:tcPr>
            <w:tcW w:w="4648" w:type="dxa"/>
            <w:shd w:val="clear" w:color="auto" w:fill="D9D9D9" w:themeFill="background1" w:themeFillShade="D9"/>
          </w:tcPr>
          <w:p w14:paraId="308A2DD4" w14:textId="43E68EA2" w:rsidR="0082680B" w:rsidRPr="0082680B" w:rsidRDefault="0082680B" w:rsidP="00DC7F86">
            <w:pPr>
              <w:spacing w:line="276" w:lineRule="auto"/>
              <w:rPr>
                <w:rFonts w:cstheme="majorHAnsi"/>
                <w:lang w:val="en-AU"/>
              </w:rPr>
            </w:pPr>
            <w:r w:rsidRPr="0082680B">
              <w:rPr>
                <w:rFonts w:cstheme="majorHAnsi"/>
                <w:lang w:val="en-AU"/>
              </w:rPr>
              <w:t xml:space="preserve">Obviously, supervisors often want to encourage candidates and other people they supervise to work productively and to achieve their targets, such as increase </w:t>
            </w:r>
            <w:r>
              <w:rPr>
                <w:rFonts w:cstheme="majorHAnsi"/>
                <w:lang w:val="en-AU"/>
              </w:rPr>
              <w:t>their</w:t>
            </w:r>
            <w:r w:rsidRPr="0082680B">
              <w:rPr>
                <w:rFonts w:cstheme="majorHAnsi"/>
                <w:lang w:val="en-AU"/>
              </w:rPr>
              <w:t xml:space="preserve"> research output.  However, whenever they attempt to encourage this productivity, supervisors should reveal how this productivity enhances the wellbeing of individuals.  That is, they should </w:t>
            </w:r>
            <w:r>
              <w:rPr>
                <w:rFonts w:cstheme="majorHAnsi"/>
                <w:lang w:val="en-AU"/>
              </w:rPr>
              <w:t>emphasize</w:t>
            </w:r>
            <w:r w:rsidRPr="0082680B">
              <w:rPr>
                <w:rFonts w:cstheme="majorHAnsi"/>
                <w:lang w:val="en-AU"/>
              </w:rPr>
              <w:t xml:space="preserve"> that productivity is only a means to an end: an end to improve emotions, satisfaction, and meaning as well as resolve problems or injustices</w:t>
            </w:r>
          </w:p>
        </w:tc>
        <w:tc>
          <w:tcPr>
            <w:tcW w:w="4536" w:type="dxa"/>
            <w:shd w:val="clear" w:color="auto" w:fill="D9D9D9" w:themeFill="background1" w:themeFillShade="D9"/>
          </w:tcPr>
          <w:p w14:paraId="424BD9B2" w14:textId="1AAAD651" w:rsidR="0082680B" w:rsidRDefault="0082680B" w:rsidP="0082680B">
            <w:pPr>
              <w:pStyle w:val="ListParagraph"/>
              <w:numPr>
                <w:ilvl w:val="0"/>
                <w:numId w:val="34"/>
              </w:numPr>
              <w:spacing w:line="276" w:lineRule="auto"/>
              <w:rPr>
                <w:rFonts w:cstheme="majorHAnsi"/>
                <w:lang w:val="en-AU"/>
              </w:rPr>
            </w:pPr>
            <w:r w:rsidRPr="0082680B">
              <w:rPr>
                <w:rFonts w:cstheme="majorHAnsi"/>
                <w:lang w:val="en-AU"/>
              </w:rPr>
              <w:t xml:space="preserve">When people feel the organization prioritizes productivity over wellbeing, safety often </w:t>
            </w:r>
            <w:proofErr w:type="gramStart"/>
            <w:r w:rsidRPr="0082680B">
              <w:rPr>
                <w:rFonts w:cstheme="majorHAnsi"/>
                <w:lang w:val="en-AU"/>
              </w:rPr>
              <w:t>deteriorates:</w:t>
            </w:r>
            <w:proofErr w:type="gramEnd"/>
            <w:r w:rsidRPr="0082680B">
              <w:rPr>
                <w:rFonts w:cstheme="majorHAnsi"/>
                <w:lang w:val="en-AU"/>
              </w:rPr>
              <w:t xml:space="preserve"> safety rules are </w:t>
            </w:r>
            <w:r>
              <w:rPr>
                <w:rFonts w:cstheme="majorHAnsi"/>
                <w:lang w:val="en-AU"/>
              </w:rPr>
              <w:t>more likely to be</w:t>
            </w:r>
            <w:r w:rsidRPr="0082680B">
              <w:rPr>
                <w:rFonts w:cstheme="majorHAnsi"/>
                <w:lang w:val="en-AU"/>
              </w:rPr>
              <w:t xml:space="preserve"> </w:t>
            </w:r>
            <w:r>
              <w:rPr>
                <w:rFonts w:cstheme="majorHAnsi"/>
                <w:lang w:val="en-AU"/>
              </w:rPr>
              <w:t>violated</w:t>
            </w:r>
            <w:r w:rsidRPr="0082680B">
              <w:rPr>
                <w:rFonts w:cstheme="majorHAnsi"/>
                <w:lang w:val="en-AU"/>
              </w:rPr>
              <w:t xml:space="preserve"> and accidents are </w:t>
            </w:r>
            <w:r>
              <w:rPr>
                <w:rFonts w:cstheme="majorHAnsi"/>
                <w:lang w:val="en-AU"/>
              </w:rPr>
              <w:t>more likely to be</w:t>
            </w:r>
            <w:r w:rsidRPr="0082680B">
              <w:rPr>
                <w:rFonts w:cstheme="majorHAnsi"/>
                <w:lang w:val="en-AU"/>
              </w:rPr>
              <w:t xml:space="preserve"> </w:t>
            </w:r>
            <w:r>
              <w:rPr>
                <w:rFonts w:cstheme="majorHAnsi"/>
                <w:lang w:val="en-AU"/>
              </w:rPr>
              <w:t>rife</w:t>
            </w:r>
            <w:r w:rsidR="00BE538D">
              <w:rPr>
                <w:rFonts w:cstheme="majorHAnsi"/>
                <w:lang w:val="en-AU"/>
              </w:rPr>
              <w:t xml:space="preserve"> </w:t>
            </w:r>
            <w:r w:rsidRPr="0082680B">
              <w:rPr>
                <w:rFonts w:cstheme="majorHAnsi"/>
                <w:lang w:val="en-AU"/>
              </w:rPr>
              <w:t>(Christian et al., 2009; Zohar &amp; Luria, 2005), particularly in stressful or frustrating environments (</w:t>
            </w:r>
            <w:proofErr w:type="spellStart"/>
            <w:r w:rsidRPr="0082680B">
              <w:rPr>
                <w:rFonts w:cstheme="majorHAnsi"/>
                <w:lang w:val="en-AU"/>
              </w:rPr>
              <w:t>Petitta</w:t>
            </w:r>
            <w:proofErr w:type="spellEnd"/>
            <w:r w:rsidRPr="0082680B">
              <w:rPr>
                <w:rFonts w:cstheme="majorHAnsi"/>
                <w:lang w:val="en-AU"/>
              </w:rPr>
              <w:t xml:space="preserve">, Probst, </w:t>
            </w:r>
            <w:proofErr w:type="spellStart"/>
            <w:r w:rsidRPr="0082680B">
              <w:rPr>
                <w:rFonts w:cstheme="majorHAnsi"/>
                <w:lang w:val="en-AU"/>
              </w:rPr>
              <w:t>Ghezzi</w:t>
            </w:r>
            <w:proofErr w:type="spellEnd"/>
            <w:r w:rsidRPr="0082680B">
              <w:rPr>
                <w:rFonts w:cstheme="majorHAnsi"/>
                <w:lang w:val="en-AU"/>
              </w:rPr>
              <w:t xml:space="preserve">, &amp; </w:t>
            </w:r>
            <w:proofErr w:type="spellStart"/>
            <w:r w:rsidRPr="0082680B">
              <w:rPr>
                <w:rFonts w:cstheme="majorHAnsi"/>
                <w:lang w:val="en-AU"/>
              </w:rPr>
              <w:t>Barbaranelli</w:t>
            </w:r>
            <w:proofErr w:type="spellEnd"/>
            <w:r w:rsidRPr="0082680B">
              <w:rPr>
                <w:rFonts w:cstheme="majorHAnsi"/>
                <w:lang w:val="en-AU"/>
              </w:rPr>
              <w:t xml:space="preserve">, 2021).  </w:t>
            </w:r>
          </w:p>
          <w:p w14:paraId="400CFC80" w14:textId="3B2297FC" w:rsidR="0082680B" w:rsidRPr="008E2C0A" w:rsidRDefault="0082680B" w:rsidP="008E2C0A">
            <w:pPr>
              <w:pStyle w:val="ListParagraph"/>
              <w:numPr>
                <w:ilvl w:val="0"/>
                <w:numId w:val="34"/>
              </w:numPr>
              <w:spacing w:line="276" w:lineRule="auto"/>
              <w:rPr>
                <w:rFonts w:cstheme="majorHAnsi"/>
                <w:lang w:val="en-AU"/>
              </w:rPr>
            </w:pPr>
            <w:r w:rsidRPr="0082680B">
              <w:rPr>
                <w:rFonts w:cstheme="majorHAnsi"/>
                <w:lang w:val="en-AU"/>
              </w:rPr>
              <w:t>Likewise, if people feel inundated with work,</w:t>
            </w:r>
            <w:r>
              <w:rPr>
                <w:rFonts w:cstheme="majorHAnsi"/>
                <w:lang w:val="en-AU"/>
              </w:rPr>
              <w:t xml:space="preserve"> </w:t>
            </w:r>
            <w:r w:rsidR="0037006E">
              <w:rPr>
                <w:rFonts w:cstheme="majorHAnsi"/>
                <w:lang w:val="en-AU"/>
              </w:rPr>
              <w:t>they are inclined</w:t>
            </w:r>
            <w:r>
              <w:rPr>
                <w:rFonts w:cstheme="majorHAnsi"/>
                <w:lang w:val="en-AU"/>
              </w:rPr>
              <w:t xml:space="preserve"> to eschew safety practices</w:t>
            </w:r>
            <w:r w:rsidRPr="0082680B">
              <w:rPr>
                <w:rFonts w:cstheme="majorHAnsi"/>
                <w:lang w:val="en-AU"/>
              </w:rPr>
              <w:t xml:space="preserve"> (Ford &amp; </w:t>
            </w:r>
            <w:proofErr w:type="spellStart"/>
            <w:r w:rsidRPr="0082680B">
              <w:rPr>
                <w:rFonts w:cstheme="majorHAnsi"/>
                <w:lang w:val="en-AU"/>
              </w:rPr>
              <w:t>Tetrick</w:t>
            </w:r>
            <w:proofErr w:type="spellEnd"/>
            <w:r w:rsidRPr="0082680B">
              <w:rPr>
                <w:rFonts w:cstheme="majorHAnsi"/>
                <w:lang w:val="en-AU"/>
              </w:rPr>
              <w:t>, 2011; Parker, Axtell, &amp; Turner, 2001)</w:t>
            </w:r>
          </w:p>
        </w:tc>
      </w:tr>
      <w:tr w:rsidR="0082680B" w:rsidRPr="00C36B2A" w14:paraId="0E46B636" w14:textId="77777777" w:rsidTr="00DC7F86">
        <w:tc>
          <w:tcPr>
            <w:tcW w:w="4648" w:type="dxa"/>
            <w:shd w:val="clear" w:color="auto" w:fill="D9D9D9" w:themeFill="background1" w:themeFillShade="D9"/>
          </w:tcPr>
          <w:p w14:paraId="2E77EE5F" w14:textId="6CA7375A" w:rsidR="0082680B" w:rsidRPr="0082680B" w:rsidRDefault="009557E8" w:rsidP="00DC7F86">
            <w:pPr>
              <w:spacing w:line="276" w:lineRule="auto"/>
              <w:rPr>
                <w:rFonts w:cstheme="majorHAnsi"/>
                <w:lang w:val="en-AU"/>
              </w:rPr>
            </w:pPr>
            <w:r w:rsidRPr="009557E8">
              <w:rPr>
                <w:rFonts w:cstheme="majorHAnsi"/>
                <w:lang w:val="en-AU"/>
              </w:rPr>
              <w:t>Supervisors should monitor whether their attempts to inspire and to motivate their candidates—or other people they supervise—</w:t>
            </w:r>
            <w:r w:rsidR="00853269">
              <w:rPr>
                <w:rFonts w:cstheme="majorHAnsi"/>
                <w:lang w:val="en-AU"/>
              </w:rPr>
              <w:t>evoke only modest, rather than pronounced, levels of stress.</w:t>
            </w:r>
            <w:r w:rsidRPr="009557E8">
              <w:rPr>
                <w:rFonts w:cstheme="majorHAnsi"/>
                <w:lang w:val="en-AU"/>
              </w:rPr>
              <w:t xml:space="preserve">  </w:t>
            </w:r>
          </w:p>
        </w:tc>
        <w:tc>
          <w:tcPr>
            <w:tcW w:w="4536" w:type="dxa"/>
            <w:shd w:val="clear" w:color="auto" w:fill="D9D9D9" w:themeFill="background1" w:themeFillShade="D9"/>
          </w:tcPr>
          <w:p w14:paraId="4A0072F3" w14:textId="0ED71B40" w:rsidR="0082680B" w:rsidRPr="0082680B" w:rsidRDefault="00853269" w:rsidP="0082680B">
            <w:pPr>
              <w:pStyle w:val="ListParagraph"/>
              <w:numPr>
                <w:ilvl w:val="0"/>
                <w:numId w:val="34"/>
              </w:numPr>
              <w:spacing w:line="276" w:lineRule="auto"/>
              <w:rPr>
                <w:rFonts w:cstheme="majorHAnsi"/>
                <w:lang w:val="en-AU"/>
              </w:rPr>
            </w:pPr>
            <w:r w:rsidRPr="00853269">
              <w:rPr>
                <w:rFonts w:cstheme="majorHAnsi"/>
                <w:lang w:val="en-AU"/>
              </w:rPr>
              <w:t>Injuries at work tend to be most pronounced when people feel especially stressed and drained but last pronounced when people feel modestly stressed or drained (Leung et al., 2012)</w:t>
            </w:r>
          </w:p>
        </w:tc>
      </w:tr>
    </w:tbl>
    <w:p w14:paraId="2187B8C6" w14:textId="57E7830B" w:rsidR="00CB6193" w:rsidRDefault="00CB6193" w:rsidP="00CB6193">
      <w:pPr>
        <w:spacing w:line="276" w:lineRule="auto"/>
        <w:rPr>
          <w:rFonts w:cstheme="majorHAnsi"/>
          <w:lang w:val="en-AU"/>
        </w:rPr>
      </w:pPr>
    </w:p>
    <w:p w14:paraId="679B18C8" w14:textId="1E37ED01" w:rsidR="00AF059E" w:rsidRDefault="00AF059E" w:rsidP="00CB6193">
      <w:pPr>
        <w:spacing w:line="276" w:lineRule="auto"/>
        <w:rPr>
          <w:rFonts w:cstheme="majorHAnsi"/>
          <w:lang w:val="en-AU"/>
        </w:rPr>
      </w:pPr>
    </w:p>
    <w:p w14:paraId="0D7ABABC" w14:textId="5F496A34" w:rsidR="00CB6193" w:rsidRPr="00C36B2A" w:rsidRDefault="00853269" w:rsidP="00853269">
      <w:pPr>
        <w:pStyle w:val="Heading1"/>
        <w:rPr>
          <w:lang w:val="en-AU"/>
        </w:rPr>
      </w:pPr>
      <w:r>
        <w:rPr>
          <w:lang w:val="en-AU"/>
        </w:rPr>
        <w:lastRenderedPageBreak/>
        <w:t>References</w:t>
      </w:r>
    </w:p>
    <w:p w14:paraId="3002EE8F" w14:textId="77777777" w:rsidR="00CB6193" w:rsidRPr="00C36B2A" w:rsidRDefault="00CB6193" w:rsidP="00CB6193">
      <w:pPr>
        <w:spacing w:line="276" w:lineRule="auto"/>
        <w:rPr>
          <w:rFonts w:cstheme="majorHAnsi"/>
          <w:lang w:val="en-AU"/>
        </w:rPr>
      </w:pPr>
    </w:p>
    <w:p w14:paraId="7B86A55C" w14:textId="77777777" w:rsidR="00CB6193" w:rsidRPr="00C36B2A" w:rsidRDefault="00CB6193" w:rsidP="00CB6193">
      <w:pPr>
        <w:spacing w:line="276" w:lineRule="auto"/>
        <w:rPr>
          <w:rFonts w:cstheme="majorHAnsi"/>
          <w:lang w:val="en-AU"/>
        </w:rPr>
      </w:pPr>
      <w:r w:rsidRPr="00C36B2A">
        <w:rPr>
          <w:rFonts w:cstheme="majorHAnsi"/>
          <w:lang w:val="en-AU"/>
        </w:rPr>
        <w:t xml:space="preserve">Barling, J., </w:t>
      </w:r>
      <w:proofErr w:type="spellStart"/>
      <w:r w:rsidRPr="00C36B2A">
        <w:rPr>
          <w:rFonts w:cstheme="majorHAnsi"/>
          <w:lang w:val="en-AU"/>
        </w:rPr>
        <w:t>Kelloway</w:t>
      </w:r>
      <w:proofErr w:type="spellEnd"/>
      <w:r w:rsidRPr="00C36B2A">
        <w:rPr>
          <w:rFonts w:cstheme="majorHAnsi"/>
          <w:lang w:val="en-AU"/>
        </w:rPr>
        <w:t>, E. K., &amp; Iverson, R. D. (2003). High-quality work, job satisfaction, and occupational injuries. Journal of Applied Psychology, 88, 276–283.</w:t>
      </w:r>
    </w:p>
    <w:p w14:paraId="7782AA36" w14:textId="77777777" w:rsidR="00CB6193" w:rsidRPr="00C36B2A" w:rsidRDefault="00CB6193" w:rsidP="00CB6193">
      <w:pPr>
        <w:spacing w:line="276" w:lineRule="auto"/>
        <w:rPr>
          <w:rFonts w:cstheme="majorHAnsi"/>
          <w:lang w:val="en-AU"/>
        </w:rPr>
      </w:pPr>
    </w:p>
    <w:p w14:paraId="6AC8DA1E"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Beus</w:t>
      </w:r>
      <w:proofErr w:type="spellEnd"/>
      <w:r w:rsidRPr="00C36B2A">
        <w:rPr>
          <w:rFonts w:cstheme="majorHAnsi"/>
          <w:lang w:val="en-AU"/>
        </w:rPr>
        <w:t>, J. M., McCord, M. A., &amp; Zohar, D. (2016). Workplace safety: A review and research synthesis. Organizational Psychology Review, 6(4), 352-381.</w:t>
      </w:r>
    </w:p>
    <w:p w14:paraId="36649E85" w14:textId="38653F2E" w:rsidR="00CB6193" w:rsidRPr="00C36B2A" w:rsidRDefault="00CB6193" w:rsidP="00CB6193">
      <w:pPr>
        <w:spacing w:line="276" w:lineRule="auto"/>
        <w:rPr>
          <w:rFonts w:cstheme="majorHAnsi"/>
          <w:lang w:val="en-AU"/>
        </w:rPr>
      </w:pPr>
    </w:p>
    <w:p w14:paraId="1F35A227" w14:textId="05126690" w:rsidR="00123DB6" w:rsidRPr="00C36B2A" w:rsidRDefault="00123DB6" w:rsidP="00CB6193">
      <w:pPr>
        <w:spacing w:line="276" w:lineRule="auto"/>
        <w:rPr>
          <w:rFonts w:cstheme="majorHAnsi"/>
          <w:lang w:val="en-AU"/>
        </w:rPr>
      </w:pPr>
      <w:r w:rsidRPr="00C36B2A">
        <w:rPr>
          <w:rFonts w:cstheme="majorHAnsi"/>
          <w:lang w:val="en-AU"/>
        </w:rPr>
        <w:t>Buehler, R., Griffin, D., &amp; Ross, M. (1994). Exploring the" planning fallacy": Why people underestimate their task completion times. Journal of Personality and Social Psychology, 67, 366</w:t>
      </w:r>
      <w:r w:rsidR="00486F32" w:rsidRPr="00C36B2A">
        <w:rPr>
          <w:rFonts w:cstheme="majorHAnsi"/>
          <w:lang w:val="en-AU"/>
        </w:rPr>
        <w:t>-381</w:t>
      </w:r>
      <w:r w:rsidRPr="00C36B2A">
        <w:rPr>
          <w:rFonts w:cstheme="majorHAnsi"/>
          <w:lang w:val="en-AU"/>
        </w:rPr>
        <w:t>.</w:t>
      </w:r>
    </w:p>
    <w:p w14:paraId="2F05930B" w14:textId="77777777" w:rsidR="00123DB6" w:rsidRPr="00C36B2A" w:rsidRDefault="00123DB6" w:rsidP="00CB6193">
      <w:pPr>
        <w:spacing w:line="276" w:lineRule="auto"/>
        <w:rPr>
          <w:rFonts w:cstheme="majorHAnsi"/>
          <w:lang w:val="en-AU"/>
        </w:rPr>
      </w:pPr>
    </w:p>
    <w:p w14:paraId="4D222444" w14:textId="77777777" w:rsidR="00CB6193" w:rsidRPr="00C36B2A" w:rsidRDefault="00CB6193" w:rsidP="00CB6193">
      <w:pPr>
        <w:spacing w:line="276" w:lineRule="auto"/>
        <w:rPr>
          <w:rFonts w:cstheme="majorHAnsi"/>
          <w:lang w:val="en-AU"/>
        </w:rPr>
      </w:pPr>
      <w:r w:rsidRPr="00C36B2A">
        <w:rPr>
          <w:rFonts w:cstheme="majorHAnsi"/>
          <w:lang w:val="en-AU"/>
        </w:rPr>
        <w:t xml:space="preserve">Burke, M. J., Salvador, R. O., Smith-Crowe, K., Chan-Serafin, S., Smith, A., &amp; </w:t>
      </w:r>
      <w:proofErr w:type="spellStart"/>
      <w:r w:rsidRPr="00C36B2A">
        <w:rPr>
          <w:rFonts w:cstheme="majorHAnsi"/>
          <w:lang w:val="en-AU"/>
        </w:rPr>
        <w:t>Sonesh</w:t>
      </w:r>
      <w:proofErr w:type="spellEnd"/>
      <w:r w:rsidRPr="00C36B2A">
        <w:rPr>
          <w:rFonts w:cstheme="majorHAnsi"/>
          <w:lang w:val="en-AU"/>
        </w:rPr>
        <w:t>, S. (2011). The dread factor: How hazards and safety training influence learning and performance. Journal of Applied Psychology, 96, 46–70</w:t>
      </w:r>
    </w:p>
    <w:p w14:paraId="31D61746" w14:textId="77777777" w:rsidR="00CB6193" w:rsidRPr="00C36B2A" w:rsidRDefault="00CB6193" w:rsidP="00CB6193">
      <w:pPr>
        <w:spacing w:line="276" w:lineRule="auto"/>
        <w:rPr>
          <w:rFonts w:cstheme="majorHAnsi"/>
          <w:lang w:val="en-AU"/>
        </w:rPr>
      </w:pPr>
    </w:p>
    <w:p w14:paraId="7D47B8B6" w14:textId="77777777" w:rsidR="00CB6193" w:rsidRPr="00C36B2A" w:rsidRDefault="00CB6193" w:rsidP="00CB6193">
      <w:pPr>
        <w:spacing w:line="276" w:lineRule="auto"/>
        <w:rPr>
          <w:rFonts w:cstheme="majorHAnsi"/>
          <w:lang w:val="en-AU"/>
        </w:rPr>
      </w:pPr>
      <w:r w:rsidRPr="00C36B2A">
        <w:rPr>
          <w:rFonts w:cstheme="majorHAnsi"/>
          <w:lang w:val="en-AU"/>
        </w:rPr>
        <w:t>Christian, M. S., Bradley, J. C., Wallace, J. C., &amp; Burke, M. J. (2009). Workplace safety: A meta-analysis of the roles of person and situation factors. Journal of Applied Psychology, 94, 1103-1127.</w:t>
      </w:r>
    </w:p>
    <w:p w14:paraId="4386079E" w14:textId="77777777" w:rsidR="00CB6193" w:rsidRPr="00C36B2A" w:rsidRDefault="00CB6193" w:rsidP="00CB6193">
      <w:pPr>
        <w:spacing w:line="276" w:lineRule="auto"/>
        <w:rPr>
          <w:rFonts w:cstheme="majorHAnsi"/>
          <w:lang w:val="en-AU"/>
        </w:rPr>
      </w:pPr>
    </w:p>
    <w:p w14:paraId="07DF08A7" w14:textId="77777777" w:rsidR="00CB6193" w:rsidRPr="00C36B2A" w:rsidRDefault="00CB6193" w:rsidP="00CB6193">
      <w:pPr>
        <w:spacing w:line="276" w:lineRule="auto"/>
        <w:rPr>
          <w:rFonts w:cstheme="majorHAnsi"/>
          <w:lang w:val="en-AU"/>
        </w:rPr>
      </w:pPr>
      <w:r w:rsidRPr="00C36B2A">
        <w:rPr>
          <w:rFonts w:cstheme="majorHAnsi"/>
          <w:lang w:val="en-AU"/>
        </w:rPr>
        <w:t>Clarke, S. (2010). An integrative model of safety climate: Linking psychological climate and work attitudes to individual safety outcomes using meta-analysis. Journal of Occupational and Organizational Psychology, 83, 553–578.</w:t>
      </w:r>
    </w:p>
    <w:p w14:paraId="125B9064" w14:textId="77777777" w:rsidR="00CB6193" w:rsidRPr="00C36B2A" w:rsidRDefault="00CB6193" w:rsidP="00CB6193">
      <w:pPr>
        <w:spacing w:line="276" w:lineRule="auto"/>
        <w:rPr>
          <w:rFonts w:cstheme="majorHAnsi"/>
          <w:lang w:val="en-AU"/>
        </w:rPr>
      </w:pPr>
    </w:p>
    <w:p w14:paraId="5DBEF5C3" w14:textId="77777777" w:rsidR="00CB6193" w:rsidRPr="00C36B2A" w:rsidRDefault="00CB6193" w:rsidP="00CB6193">
      <w:pPr>
        <w:spacing w:line="276" w:lineRule="auto"/>
        <w:rPr>
          <w:rFonts w:cstheme="majorHAnsi"/>
          <w:lang w:val="en-AU"/>
        </w:rPr>
      </w:pPr>
      <w:r w:rsidRPr="00C36B2A">
        <w:rPr>
          <w:rFonts w:cstheme="majorHAnsi"/>
          <w:lang w:val="en-AU"/>
        </w:rPr>
        <w:t xml:space="preserve">Clarke, S. (2012). The effect of challenge and hindrance stressors on safety </w:t>
      </w:r>
      <w:proofErr w:type="spellStart"/>
      <w:r w:rsidRPr="00C36B2A">
        <w:rPr>
          <w:rFonts w:cstheme="majorHAnsi"/>
          <w:lang w:val="en-AU"/>
        </w:rPr>
        <w:t>behaviors</w:t>
      </w:r>
      <w:proofErr w:type="spellEnd"/>
      <w:r w:rsidRPr="00C36B2A">
        <w:rPr>
          <w:rFonts w:cstheme="majorHAnsi"/>
          <w:lang w:val="en-AU"/>
        </w:rPr>
        <w:t xml:space="preserve"> and safety</w:t>
      </w:r>
    </w:p>
    <w:p w14:paraId="01E724D7" w14:textId="77777777" w:rsidR="00CB6193" w:rsidRPr="00C36B2A" w:rsidRDefault="00CB6193" w:rsidP="00CB6193">
      <w:pPr>
        <w:spacing w:line="276" w:lineRule="auto"/>
        <w:rPr>
          <w:rFonts w:cstheme="majorHAnsi"/>
          <w:lang w:val="en-AU"/>
        </w:rPr>
      </w:pPr>
      <w:r w:rsidRPr="00C36B2A">
        <w:rPr>
          <w:rFonts w:cstheme="majorHAnsi"/>
          <w:lang w:val="en-AU"/>
        </w:rPr>
        <w:t>outcomes: A meta-analysis. Journal of Occupational Health Psychology, 17, 387–397</w:t>
      </w:r>
    </w:p>
    <w:p w14:paraId="1B7D0E45" w14:textId="77777777" w:rsidR="00CB6193" w:rsidRPr="00C36B2A" w:rsidRDefault="00CB6193" w:rsidP="00CB6193">
      <w:pPr>
        <w:spacing w:line="276" w:lineRule="auto"/>
        <w:rPr>
          <w:rFonts w:cstheme="majorHAnsi"/>
          <w:lang w:val="en-AU"/>
        </w:rPr>
      </w:pPr>
    </w:p>
    <w:p w14:paraId="27992F75" w14:textId="77777777" w:rsidR="00CB6193" w:rsidRPr="00C36B2A" w:rsidRDefault="00CB6193" w:rsidP="00CB6193">
      <w:pPr>
        <w:spacing w:line="276" w:lineRule="auto"/>
        <w:rPr>
          <w:rFonts w:cstheme="majorHAnsi"/>
          <w:lang w:val="en-AU"/>
        </w:rPr>
      </w:pPr>
      <w:r w:rsidRPr="00C36B2A">
        <w:rPr>
          <w:rFonts w:cstheme="majorHAnsi"/>
          <w:lang w:val="en-AU"/>
        </w:rPr>
        <w:t>Conchie, S. M. (2013). Transformational leadership, intrinsic motivation, and trust: A moderated-mediated model of workplace safety. Journal of Occupational Health Psychology, 18, 198–210.</w:t>
      </w:r>
    </w:p>
    <w:p w14:paraId="3ABE6370" w14:textId="77777777" w:rsidR="00CB6193" w:rsidRPr="00C36B2A" w:rsidRDefault="00CB6193" w:rsidP="00CB6193">
      <w:pPr>
        <w:spacing w:line="276" w:lineRule="auto"/>
        <w:rPr>
          <w:rFonts w:cstheme="majorHAnsi"/>
          <w:lang w:val="en-AU"/>
        </w:rPr>
      </w:pPr>
    </w:p>
    <w:p w14:paraId="34F9818D" w14:textId="77777777" w:rsidR="00CB6193" w:rsidRPr="00C36B2A" w:rsidRDefault="00CB6193" w:rsidP="00CB6193">
      <w:pPr>
        <w:spacing w:line="276" w:lineRule="auto"/>
        <w:rPr>
          <w:rFonts w:cstheme="majorHAnsi"/>
          <w:lang w:val="en-AU"/>
        </w:rPr>
      </w:pPr>
      <w:r w:rsidRPr="00C36B2A">
        <w:rPr>
          <w:rFonts w:cstheme="majorHAnsi"/>
          <w:lang w:val="en-AU"/>
        </w:rPr>
        <w:t>Cooper, M. D., Phillips, R. A., Sutherland, V. J., &amp; Makin, P. J. (1994). Reducing accidents</w:t>
      </w:r>
    </w:p>
    <w:p w14:paraId="62EBCB19" w14:textId="77777777" w:rsidR="00CB6193" w:rsidRPr="00C36B2A" w:rsidRDefault="00CB6193" w:rsidP="00CB6193">
      <w:pPr>
        <w:spacing w:line="276" w:lineRule="auto"/>
        <w:rPr>
          <w:rFonts w:cstheme="majorHAnsi"/>
          <w:lang w:val="en-AU"/>
        </w:rPr>
      </w:pPr>
      <w:r w:rsidRPr="00C36B2A">
        <w:rPr>
          <w:rFonts w:cstheme="majorHAnsi"/>
          <w:lang w:val="en-AU"/>
        </w:rPr>
        <w:t>using goal setting and feedback: A field study. Journal of Occupational and Organizational Psychology, 67, 219–240.</w:t>
      </w:r>
    </w:p>
    <w:p w14:paraId="0ADB65DC" w14:textId="77777777" w:rsidR="00CB6193" w:rsidRPr="00C36B2A" w:rsidRDefault="00CB6193" w:rsidP="00CB6193">
      <w:pPr>
        <w:spacing w:line="276" w:lineRule="auto"/>
        <w:rPr>
          <w:rFonts w:cstheme="majorHAnsi"/>
          <w:lang w:val="en-AU"/>
        </w:rPr>
      </w:pPr>
    </w:p>
    <w:p w14:paraId="1DDF725B" w14:textId="77777777" w:rsidR="00CB6193" w:rsidRPr="00C36B2A" w:rsidRDefault="00CB6193" w:rsidP="00CB6193">
      <w:pPr>
        <w:spacing w:line="276" w:lineRule="auto"/>
        <w:rPr>
          <w:rFonts w:cstheme="majorHAnsi"/>
          <w:lang w:val="en-AU"/>
        </w:rPr>
      </w:pPr>
      <w:r w:rsidRPr="00C36B2A">
        <w:rPr>
          <w:rFonts w:cstheme="majorHAnsi"/>
          <w:lang w:val="en-AU"/>
        </w:rPr>
        <w:t xml:space="preserve">Dai, H., Milkman, K. L., Hofmann, D. A., &amp; </w:t>
      </w:r>
      <w:proofErr w:type="spellStart"/>
      <w:r w:rsidRPr="00C36B2A">
        <w:rPr>
          <w:rFonts w:cstheme="majorHAnsi"/>
          <w:lang w:val="en-AU"/>
        </w:rPr>
        <w:t>Staats</w:t>
      </w:r>
      <w:proofErr w:type="spellEnd"/>
      <w:r w:rsidRPr="00C36B2A">
        <w:rPr>
          <w:rFonts w:cstheme="majorHAnsi"/>
          <w:lang w:val="en-AU"/>
        </w:rPr>
        <w:t>, B. R. (2015). The impact of time at work and time off from work on rule compliance: The case of hand hygiene in health care. Journal of Applied Psychology, 100, 846–862</w:t>
      </w:r>
    </w:p>
    <w:p w14:paraId="2032C0D6" w14:textId="77777777" w:rsidR="00CB6193" w:rsidRPr="00C36B2A" w:rsidRDefault="00CB6193" w:rsidP="00CB6193">
      <w:pPr>
        <w:spacing w:line="276" w:lineRule="auto"/>
        <w:rPr>
          <w:rFonts w:cstheme="majorHAnsi"/>
          <w:lang w:val="en-AU"/>
        </w:rPr>
      </w:pPr>
    </w:p>
    <w:p w14:paraId="561C98EC"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DeSteno</w:t>
      </w:r>
      <w:proofErr w:type="spellEnd"/>
      <w:r w:rsidRPr="00C36B2A">
        <w:rPr>
          <w:rFonts w:cstheme="majorHAnsi"/>
          <w:lang w:val="en-AU"/>
        </w:rPr>
        <w:t>, D., Duong, F., Lim, D., &amp; Kates, S. (2019). The grateful don’t cheat: Gratitude as a fount of virtue. Psychological Science, 30, 979-988.</w:t>
      </w:r>
    </w:p>
    <w:p w14:paraId="22238501" w14:textId="77777777" w:rsidR="00CB6193" w:rsidRPr="00C36B2A" w:rsidRDefault="00CB6193" w:rsidP="00CB6193">
      <w:pPr>
        <w:spacing w:line="276" w:lineRule="auto"/>
        <w:rPr>
          <w:rFonts w:cstheme="majorHAnsi"/>
          <w:lang w:val="en-AU"/>
        </w:rPr>
      </w:pPr>
    </w:p>
    <w:p w14:paraId="47B24716" w14:textId="77777777" w:rsidR="00CB6193" w:rsidRPr="00C36B2A" w:rsidRDefault="00CB6193" w:rsidP="00CB6193">
      <w:pPr>
        <w:spacing w:line="276" w:lineRule="auto"/>
        <w:rPr>
          <w:rFonts w:cstheme="majorHAnsi"/>
          <w:lang w:val="en-AU"/>
        </w:rPr>
      </w:pPr>
      <w:r w:rsidRPr="00C36B2A">
        <w:rPr>
          <w:rFonts w:cstheme="majorHAnsi"/>
          <w:lang w:val="en-AU"/>
        </w:rPr>
        <w:t xml:space="preserve">Ford, M. T., &amp; </w:t>
      </w:r>
      <w:proofErr w:type="spellStart"/>
      <w:r w:rsidRPr="00C36B2A">
        <w:rPr>
          <w:rFonts w:cstheme="majorHAnsi"/>
          <w:lang w:val="en-AU"/>
        </w:rPr>
        <w:t>Tetrick</w:t>
      </w:r>
      <w:proofErr w:type="spellEnd"/>
      <w:r w:rsidRPr="00C36B2A">
        <w:rPr>
          <w:rFonts w:cstheme="majorHAnsi"/>
          <w:lang w:val="en-AU"/>
        </w:rPr>
        <w:t>, L. E. (2011). Relations among occupational hazards, attitudes, and safety</w:t>
      </w:r>
    </w:p>
    <w:p w14:paraId="1D5DFB06" w14:textId="77777777" w:rsidR="00CB6193" w:rsidRPr="00C36B2A" w:rsidRDefault="00CB6193" w:rsidP="00CB6193">
      <w:pPr>
        <w:spacing w:line="276" w:lineRule="auto"/>
        <w:rPr>
          <w:rFonts w:cstheme="majorHAnsi"/>
          <w:lang w:val="en-AU"/>
        </w:rPr>
      </w:pPr>
      <w:r w:rsidRPr="00C36B2A">
        <w:rPr>
          <w:rFonts w:cstheme="majorHAnsi"/>
          <w:lang w:val="en-AU"/>
        </w:rPr>
        <w:t xml:space="preserve">performance. Journal of Occupational Health Psychology, 16, 48–66. </w:t>
      </w:r>
    </w:p>
    <w:p w14:paraId="3973DB77" w14:textId="77777777" w:rsidR="00CB6193" w:rsidRPr="00C36B2A" w:rsidRDefault="00CB6193" w:rsidP="00CB6193">
      <w:pPr>
        <w:spacing w:line="276" w:lineRule="auto"/>
        <w:rPr>
          <w:rFonts w:cstheme="majorHAnsi"/>
          <w:lang w:val="en-AU"/>
        </w:rPr>
      </w:pPr>
    </w:p>
    <w:p w14:paraId="2CB7263E" w14:textId="77777777" w:rsidR="00CB6193" w:rsidRPr="00C36B2A" w:rsidRDefault="00CB6193" w:rsidP="00CB6193">
      <w:pPr>
        <w:spacing w:line="276" w:lineRule="auto"/>
        <w:rPr>
          <w:rFonts w:cstheme="majorHAnsi"/>
          <w:lang w:val="en-AU"/>
        </w:rPr>
      </w:pPr>
      <w:r w:rsidRPr="00C36B2A">
        <w:rPr>
          <w:rFonts w:cstheme="majorHAnsi"/>
          <w:lang w:val="en-AU"/>
        </w:rPr>
        <w:t xml:space="preserve">Halbesleben, J. R., Leroy, H., </w:t>
      </w:r>
      <w:proofErr w:type="spellStart"/>
      <w:r w:rsidRPr="00C36B2A">
        <w:rPr>
          <w:rFonts w:cstheme="majorHAnsi"/>
          <w:lang w:val="en-AU"/>
        </w:rPr>
        <w:t>Dierynck</w:t>
      </w:r>
      <w:proofErr w:type="spellEnd"/>
      <w:r w:rsidRPr="00C36B2A">
        <w:rPr>
          <w:rFonts w:cstheme="majorHAnsi"/>
          <w:lang w:val="en-AU"/>
        </w:rPr>
        <w:t>, B., Simons, T., Savage, G. T., McCaughey, D., &amp; Leon, M. R.</w:t>
      </w:r>
    </w:p>
    <w:p w14:paraId="0942F357" w14:textId="77777777" w:rsidR="00CB6193" w:rsidRPr="00C36B2A" w:rsidRDefault="00CB6193" w:rsidP="00CB6193">
      <w:pPr>
        <w:spacing w:line="276" w:lineRule="auto"/>
        <w:rPr>
          <w:rFonts w:cstheme="majorHAnsi"/>
          <w:lang w:val="en-AU"/>
        </w:rPr>
      </w:pPr>
      <w:r w:rsidRPr="00C36B2A">
        <w:rPr>
          <w:rFonts w:cstheme="majorHAnsi"/>
          <w:lang w:val="en-AU"/>
        </w:rPr>
        <w:lastRenderedPageBreak/>
        <w:t xml:space="preserve">(2013). Living up to safety values in health care: The effect of leader </w:t>
      </w:r>
      <w:proofErr w:type="spellStart"/>
      <w:r w:rsidRPr="00C36B2A">
        <w:rPr>
          <w:rFonts w:cstheme="majorHAnsi"/>
          <w:lang w:val="en-AU"/>
        </w:rPr>
        <w:t>behavioral</w:t>
      </w:r>
      <w:proofErr w:type="spellEnd"/>
      <w:r w:rsidRPr="00C36B2A">
        <w:rPr>
          <w:rFonts w:cstheme="majorHAnsi"/>
          <w:lang w:val="en-AU"/>
        </w:rPr>
        <w:t xml:space="preserve"> integrity on occupational safety. Journal of Occupational Health Psychology, 18(4), 395–405.</w:t>
      </w:r>
    </w:p>
    <w:p w14:paraId="687E09C6" w14:textId="77777777" w:rsidR="00CB6193" w:rsidRPr="00C36B2A" w:rsidRDefault="00CB6193" w:rsidP="00CB6193">
      <w:pPr>
        <w:spacing w:line="276" w:lineRule="auto"/>
        <w:rPr>
          <w:rFonts w:cstheme="majorHAnsi"/>
          <w:lang w:val="en-AU"/>
        </w:rPr>
      </w:pPr>
    </w:p>
    <w:p w14:paraId="4649E179" w14:textId="77777777" w:rsidR="00CB6193" w:rsidRPr="00C36B2A" w:rsidRDefault="00CB6193" w:rsidP="00CB6193">
      <w:pPr>
        <w:spacing w:line="276" w:lineRule="auto"/>
        <w:rPr>
          <w:rFonts w:cstheme="majorHAnsi"/>
          <w:lang w:val="en-AU"/>
        </w:rPr>
      </w:pPr>
      <w:r w:rsidRPr="00C36B2A">
        <w:rPr>
          <w:rFonts w:cstheme="majorHAnsi"/>
          <w:lang w:val="en-AU"/>
        </w:rPr>
        <w:t>He, Y., Payne, S. C., Yao, X., &amp; Smallman, R. (2020). Improving workplace safety by thinking about what might have been: a first look at the role of counterfactual thinking. Journal of Safety Research, 72, 153-164.</w:t>
      </w:r>
    </w:p>
    <w:p w14:paraId="1B5BB20E" w14:textId="77777777" w:rsidR="00CB6193" w:rsidRPr="00C36B2A" w:rsidRDefault="00CB6193" w:rsidP="00CB6193">
      <w:pPr>
        <w:spacing w:line="276" w:lineRule="auto"/>
        <w:rPr>
          <w:rFonts w:cstheme="majorHAnsi"/>
          <w:lang w:val="en-AU"/>
        </w:rPr>
      </w:pPr>
    </w:p>
    <w:p w14:paraId="27CA876C"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Hechanova-Alampay</w:t>
      </w:r>
      <w:proofErr w:type="spellEnd"/>
      <w:r w:rsidRPr="00C36B2A">
        <w:rPr>
          <w:rFonts w:cstheme="majorHAnsi"/>
          <w:lang w:val="en-AU"/>
        </w:rPr>
        <w:t xml:space="preserve">, R., &amp; </w:t>
      </w:r>
      <w:proofErr w:type="spellStart"/>
      <w:r w:rsidRPr="00C36B2A">
        <w:rPr>
          <w:rFonts w:cstheme="majorHAnsi"/>
          <w:lang w:val="en-AU"/>
        </w:rPr>
        <w:t>Beehr</w:t>
      </w:r>
      <w:proofErr w:type="spellEnd"/>
      <w:r w:rsidRPr="00C36B2A">
        <w:rPr>
          <w:rFonts w:cstheme="majorHAnsi"/>
          <w:lang w:val="en-AU"/>
        </w:rPr>
        <w:t>, T. A. (2001). Empowerment, span of control, and safety performance in work teams after workforce reduction. Journal of Occupational Health Psychology, 6, 275–282.</w:t>
      </w:r>
    </w:p>
    <w:p w14:paraId="1FBA06E3" w14:textId="77777777" w:rsidR="00CB6193" w:rsidRPr="00C36B2A" w:rsidRDefault="00CB6193" w:rsidP="00CB6193">
      <w:pPr>
        <w:spacing w:line="276" w:lineRule="auto"/>
        <w:rPr>
          <w:rFonts w:cstheme="majorHAnsi"/>
          <w:lang w:val="en-AU"/>
        </w:rPr>
      </w:pPr>
    </w:p>
    <w:p w14:paraId="3EA70556" w14:textId="77777777" w:rsidR="00CB6193" w:rsidRPr="00C36B2A" w:rsidRDefault="00CB6193" w:rsidP="00CB6193">
      <w:pPr>
        <w:spacing w:line="276" w:lineRule="auto"/>
        <w:rPr>
          <w:rFonts w:cstheme="majorHAnsi"/>
          <w:lang w:val="en-AU"/>
        </w:rPr>
      </w:pPr>
      <w:r w:rsidRPr="00C36B2A">
        <w:rPr>
          <w:rFonts w:cstheme="majorHAnsi"/>
          <w:lang w:val="en-AU"/>
        </w:rPr>
        <w:t xml:space="preserve">Hofmann, D. A., Jacobs, R., &amp; Landy, F. (1995). High reliability process industries: Individual, micro, and </w:t>
      </w:r>
      <w:proofErr w:type="gramStart"/>
      <w:r w:rsidRPr="00C36B2A">
        <w:rPr>
          <w:rFonts w:cstheme="majorHAnsi"/>
          <w:lang w:val="en-AU"/>
        </w:rPr>
        <w:t>macro organizational</w:t>
      </w:r>
      <w:proofErr w:type="gramEnd"/>
      <w:r w:rsidRPr="00C36B2A">
        <w:rPr>
          <w:rFonts w:cstheme="majorHAnsi"/>
          <w:lang w:val="en-AU"/>
        </w:rPr>
        <w:t xml:space="preserve"> influences on safety performance. Journal of Safety Research, 26, 131–149</w:t>
      </w:r>
    </w:p>
    <w:p w14:paraId="28848A09" w14:textId="77777777" w:rsidR="00CB6193" w:rsidRPr="00C36B2A" w:rsidRDefault="00CB6193" w:rsidP="00CB6193">
      <w:pPr>
        <w:spacing w:line="276" w:lineRule="auto"/>
        <w:rPr>
          <w:rFonts w:cstheme="majorHAnsi"/>
          <w:lang w:val="en-AU"/>
        </w:rPr>
      </w:pPr>
    </w:p>
    <w:p w14:paraId="7FB05448" w14:textId="77777777" w:rsidR="00CB6193" w:rsidRPr="00C36B2A" w:rsidRDefault="00CB6193" w:rsidP="00CB6193">
      <w:pPr>
        <w:spacing w:line="276" w:lineRule="auto"/>
        <w:rPr>
          <w:rFonts w:cstheme="majorHAnsi"/>
          <w:lang w:val="en-AU"/>
        </w:rPr>
      </w:pPr>
      <w:r w:rsidRPr="00C36B2A">
        <w:rPr>
          <w:rFonts w:cstheme="majorHAnsi"/>
          <w:lang w:val="en-AU"/>
        </w:rPr>
        <w:t xml:space="preserve">Holland, R. W., Hendricks, M., &amp; </w:t>
      </w:r>
      <w:proofErr w:type="spellStart"/>
      <w:r w:rsidRPr="00C36B2A">
        <w:rPr>
          <w:rFonts w:cstheme="majorHAnsi"/>
          <w:lang w:val="en-AU"/>
        </w:rPr>
        <w:t>Aarts</w:t>
      </w:r>
      <w:proofErr w:type="spellEnd"/>
      <w:r w:rsidRPr="00C36B2A">
        <w:rPr>
          <w:rFonts w:cstheme="majorHAnsi"/>
          <w:lang w:val="en-AU"/>
        </w:rPr>
        <w:t>, H. (2005). Smells like clean spirit: Nonconscious effects of scent on cognition and behaviour. Psychological Science, 16, 689-693.</w:t>
      </w:r>
    </w:p>
    <w:p w14:paraId="2A9E4645" w14:textId="77777777" w:rsidR="00CB6193" w:rsidRPr="00C36B2A" w:rsidRDefault="00CB6193" w:rsidP="00CB6193">
      <w:pPr>
        <w:spacing w:line="276" w:lineRule="auto"/>
        <w:rPr>
          <w:rFonts w:cstheme="majorHAnsi"/>
          <w:lang w:val="en-AU"/>
        </w:rPr>
      </w:pPr>
    </w:p>
    <w:p w14:paraId="14FA7F24" w14:textId="77777777" w:rsidR="00CB6193" w:rsidRPr="00C36B2A" w:rsidRDefault="00CB6193" w:rsidP="00CB6193">
      <w:pPr>
        <w:spacing w:line="276" w:lineRule="auto"/>
        <w:rPr>
          <w:rFonts w:cstheme="majorHAnsi"/>
          <w:lang w:val="en-AU"/>
        </w:rPr>
      </w:pPr>
      <w:r w:rsidRPr="00C36B2A">
        <w:rPr>
          <w:rFonts w:cstheme="majorHAnsi"/>
          <w:lang w:val="en-AU"/>
        </w:rPr>
        <w:t>Inness, M., Turner, N., Barling, J., &amp; Stride, C. B. (2010). Transformational leadership and employee safety performance: A within-person, between-jobs design. Journal of Occupational Health Psychology, 15, 279–290</w:t>
      </w:r>
    </w:p>
    <w:p w14:paraId="48653764" w14:textId="77777777" w:rsidR="00CB6193" w:rsidRPr="00C36B2A" w:rsidRDefault="00CB6193" w:rsidP="00CB6193">
      <w:pPr>
        <w:spacing w:line="276" w:lineRule="auto"/>
        <w:rPr>
          <w:rFonts w:cstheme="majorHAnsi"/>
          <w:lang w:val="en-AU"/>
        </w:rPr>
      </w:pPr>
    </w:p>
    <w:p w14:paraId="6E0AC028" w14:textId="77777777" w:rsidR="00CB6193" w:rsidRPr="00C36B2A" w:rsidRDefault="00CB6193" w:rsidP="00CB6193">
      <w:pPr>
        <w:spacing w:line="276" w:lineRule="auto"/>
        <w:rPr>
          <w:rFonts w:cstheme="majorHAnsi"/>
          <w:lang w:val="en-AU"/>
        </w:rPr>
      </w:pPr>
      <w:r w:rsidRPr="00C36B2A">
        <w:rPr>
          <w:rFonts w:cstheme="majorHAnsi"/>
          <w:lang w:val="en-AU"/>
        </w:rPr>
        <w:t xml:space="preserve">Keizer, K., Lindenberg, S., &amp; Steg, L. (2008). The spreading of disorder. Science, 322(5908), 1681-1685. </w:t>
      </w:r>
    </w:p>
    <w:p w14:paraId="2D7AADA7" w14:textId="77777777" w:rsidR="00CB6193" w:rsidRPr="00C36B2A" w:rsidRDefault="00CB6193" w:rsidP="00CB6193">
      <w:pPr>
        <w:spacing w:line="276" w:lineRule="auto"/>
        <w:rPr>
          <w:rFonts w:cstheme="majorHAnsi"/>
          <w:lang w:val="en-AU"/>
        </w:rPr>
      </w:pPr>
    </w:p>
    <w:p w14:paraId="5664A187"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Kelloway</w:t>
      </w:r>
      <w:proofErr w:type="spellEnd"/>
      <w:r w:rsidRPr="00C36B2A">
        <w:rPr>
          <w:rFonts w:cstheme="majorHAnsi"/>
          <w:lang w:val="en-AU"/>
        </w:rPr>
        <w:t>, E. K., Mullen, J., &amp; Francis, L. (2006). Divergent effects of transformational and passive leadership on employee safety. Journal of Occupational Health Psychology, 11, 76–86.</w:t>
      </w:r>
    </w:p>
    <w:p w14:paraId="6D95AB48" w14:textId="77777777" w:rsidR="00CB6193" w:rsidRPr="00C36B2A" w:rsidRDefault="00CB6193" w:rsidP="00CB6193">
      <w:pPr>
        <w:spacing w:line="276" w:lineRule="auto"/>
        <w:rPr>
          <w:rFonts w:cstheme="majorHAnsi"/>
          <w:lang w:val="en-AU"/>
        </w:rPr>
      </w:pPr>
    </w:p>
    <w:p w14:paraId="21D8D0EF"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Kupor</w:t>
      </w:r>
      <w:proofErr w:type="spellEnd"/>
      <w:r w:rsidRPr="00C36B2A">
        <w:rPr>
          <w:rFonts w:cstheme="majorHAnsi"/>
          <w:lang w:val="en-AU"/>
        </w:rPr>
        <w:t xml:space="preserve">, D., </w:t>
      </w:r>
      <w:proofErr w:type="spellStart"/>
      <w:r w:rsidRPr="00C36B2A">
        <w:rPr>
          <w:rFonts w:cstheme="majorHAnsi"/>
          <w:lang w:val="en-AU"/>
        </w:rPr>
        <w:t>Brucks</w:t>
      </w:r>
      <w:proofErr w:type="spellEnd"/>
      <w:r w:rsidRPr="00C36B2A">
        <w:rPr>
          <w:rFonts w:cstheme="majorHAnsi"/>
          <w:lang w:val="en-AU"/>
        </w:rPr>
        <w:t>, M. S., &amp; Huang, S. C. (2019). And the winner is...? Forecasting the outcome of others’ competitive efforts. Journal of Personality and Social Psychology, 117(3), 500-521.</w:t>
      </w:r>
    </w:p>
    <w:p w14:paraId="15D42A55" w14:textId="77777777" w:rsidR="00CB6193" w:rsidRPr="00C36B2A" w:rsidRDefault="00CB6193" w:rsidP="00CB6193">
      <w:pPr>
        <w:spacing w:line="276" w:lineRule="auto"/>
        <w:rPr>
          <w:rFonts w:cstheme="majorHAnsi"/>
          <w:lang w:val="en-AU"/>
        </w:rPr>
      </w:pPr>
    </w:p>
    <w:p w14:paraId="0768B9A0" w14:textId="77777777" w:rsidR="00CB6193" w:rsidRPr="00C36B2A" w:rsidRDefault="00CB6193" w:rsidP="00CB6193">
      <w:pPr>
        <w:spacing w:line="276" w:lineRule="auto"/>
        <w:rPr>
          <w:rFonts w:cstheme="majorHAnsi"/>
          <w:lang w:val="en-AU"/>
        </w:rPr>
      </w:pPr>
      <w:r w:rsidRPr="00C36B2A">
        <w:rPr>
          <w:rFonts w:cstheme="majorHAnsi"/>
          <w:lang w:val="en-AU"/>
        </w:rPr>
        <w:t xml:space="preserve">Leiter, M. P., </w:t>
      </w:r>
      <w:proofErr w:type="spellStart"/>
      <w:r w:rsidRPr="00C36B2A">
        <w:rPr>
          <w:rFonts w:cstheme="majorHAnsi"/>
          <w:lang w:val="en-AU"/>
        </w:rPr>
        <w:t>Zanaletti</w:t>
      </w:r>
      <w:proofErr w:type="spellEnd"/>
      <w:r w:rsidRPr="00C36B2A">
        <w:rPr>
          <w:rFonts w:cstheme="majorHAnsi"/>
          <w:lang w:val="en-AU"/>
        </w:rPr>
        <w:t xml:space="preserve">, W., &amp; </w:t>
      </w:r>
      <w:proofErr w:type="spellStart"/>
      <w:r w:rsidRPr="00C36B2A">
        <w:rPr>
          <w:rFonts w:cstheme="majorHAnsi"/>
          <w:lang w:val="en-AU"/>
        </w:rPr>
        <w:t>Argentero</w:t>
      </w:r>
      <w:proofErr w:type="spellEnd"/>
      <w:r w:rsidRPr="00C36B2A">
        <w:rPr>
          <w:rFonts w:cstheme="majorHAnsi"/>
          <w:lang w:val="en-AU"/>
        </w:rPr>
        <w:t>, P. (2009). Occupational risk perception, safety training, and</w:t>
      </w:r>
    </w:p>
    <w:p w14:paraId="57A5F22F" w14:textId="77777777" w:rsidR="00CB6193" w:rsidRPr="00C36B2A" w:rsidRDefault="00CB6193" w:rsidP="00CB6193">
      <w:pPr>
        <w:spacing w:line="276" w:lineRule="auto"/>
        <w:rPr>
          <w:rFonts w:cstheme="majorHAnsi"/>
          <w:lang w:val="en-AU"/>
        </w:rPr>
      </w:pPr>
      <w:r w:rsidRPr="00C36B2A">
        <w:rPr>
          <w:rFonts w:cstheme="majorHAnsi"/>
          <w:lang w:val="en-AU"/>
        </w:rPr>
        <w:t>injury prevention: Testing a model in the Italian printing industry. Journal of Occupational Health Psychology, 14, 1–10</w:t>
      </w:r>
    </w:p>
    <w:p w14:paraId="1448E4B8" w14:textId="77777777" w:rsidR="00CB6193" w:rsidRPr="00C36B2A" w:rsidRDefault="00CB6193" w:rsidP="00CB6193">
      <w:pPr>
        <w:spacing w:line="276" w:lineRule="auto"/>
        <w:rPr>
          <w:rFonts w:cstheme="majorHAnsi"/>
          <w:lang w:val="en-AU"/>
        </w:rPr>
      </w:pPr>
    </w:p>
    <w:p w14:paraId="4B7B330C" w14:textId="77777777" w:rsidR="00CB6193" w:rsidRPr="00C36B2A" w:rsidRDefault="00CB6193" w:rsidP="00CB6193">
      <w:pPr>
        <w:spacing w:line="276" w:lineRule="auto"/>
        <w:rPr>
          <w:rFonts w:cstheme="majorHAnsi"/>
          <w:lang w:val="en-AU"/>
        </w:rPr>
      </w:pPr>
      <w:r w:rsidRPr="00C36B2A">
        <w:rPr>
          <w:rFonts w:cstheme="majorHAnsi"/>
          <w:lang w:val="en-AU"/>
        </w:rPr>
        <w:t>Leung, M., Chan, I. Y., &amp; Yu, J. (2012). Preventing construction worker injury incidents through the</w:t>
      </w:r>
    </w:p>
    <w:p w14:paraId="506222C8" w14:textId="77777777" w:rsidR="00CB6193" w:rsidRPr="00C36B2A" w:rsidRDefault="00CB6193" w:rsidP="00CB6193">
      <w:pPr>
        <w:spacing w:line="276" w:lineRule="auto"/>
        <w:rPr>
          <w:rFonts w:cstheme="majorHAnsi"/>
          <w:lang w:val="en-AU"/>
        </w:rPr>
      </w:pPr>
      <w:r w:rsidRPr="00C36B2A">
        <w:rPr>
          <w:rFonts w:cstheme="majorHAnsi"/>
          <w:lang w:val="en-AU"/>
        </w:rPr>
        <w:t>management of personal stress and organizational stressors. Accident Analysis and Prevention, 48, 156–166.</w:t>
      </w:r>
    </w:p>
    <w:p w14:paraId="5FDD412D" w14:textId="77777777" w:rsidR="00CB6193" w:rsidRPr="00C36B2A" w:rsidRDefault="00CB6193" w:rsidP="00CB6193">
      <w:pPr>
        <w:spacing w:line="276" w:lineRule="auto"/>
        <w:rPr>
          <w:rFonts w:cstheme="majorHAnsi"/>
          <w:lang w:val="en-AU"/>
        </w:rPr>
      </w:pPr>
    </w:p>
    <w:p w14:paraId="461A321D" w14:textId="77777777" w:rsidR="00CB6193" w:rsidRPr="00C36B2A" w:rsidRDefault="00CB6193" w:rsidP="00CB6193">
      <w:pPr>
        <w:spacing w:line="276" w:lineRule="auto"/>
        <w:rPr>
          <w:rFonts w:cstheme="majorHAnsi"/>
          <w:lang w:val="en-AU"/>
        </w:rPr>
      </w:pPr>
      <w:r w:rsidRPr="00C36B2A">
        <w:rPr>
          <w:rFonts w:cstheme="majorHAnsi"/>
          <w:lang w:val="en-AU"/>
        </w:rPr>
        <w:t xml:space="preserve">Maio, G. R., Olson, J. M., Allen, L., &amp; Bernard, M. M. (2001). Addressing discrepancies between values and </w:t>
      </w:r>
      <w:proofErr w:type="spellStart"/>
      <w:r w:rsidRPr="00C36B2A">
        <w:rPr>
          <w:rFonts w:cstheme="majorHAnsi"/>
          <w:lang w:val="en-AU"/>
        </w:rPr>
        <w:t>behavior</w:t>
      </w:r>
      <w:proofErr w:type="spellEnd"/>
      <w:r w:rsidRPr="00C36B2A">
        <w:rPr>
          <w:rFonts w:cstheme="majorHAnsi"/>
          <w:lang w:val="en-AU"/>
        </w:rPr>
        <w:t>: The motivating effect of reasons. Journal of Experimental Social Psychology, 37(2), 104-117.</w:t>
      </w:r>
    </w:p>
    <w:p w14:paraId="76016969" w14:textId="77777777" w:rsidR="00CB6193" w:rsidRPr="00C36B2A" w:rsidRDefault="00CB6193" w:rsidP="00CB6193">
      <w:pPr>
        <w:spacing w:line="276" w:lineRule="auto"/>
        <w:rPr>
          <w:rFonts w:cstheme="majorHAnsi"/>
          <w:lang w:val="en-AU"/>
        </w:rPr>
      </w:pPr>
    </w:p>
    <w:p w14:paraId="2F35CA0C"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Nahrgang</w:t>
      </w:r>
      <w:proofErr w:type="spellEnd"/>
      <w:r w:rsidRPr="00C36B2A">
        <w:rPr>
          <w:rFonts w:cstheme="majorHAnsi"/>
          <w:lang w:val="en-AU"/>
        </w:rPr>
        <w:t xml:space="preserve">, J. D., </w:t>
      </w:r>
      <w:proofErr w:type="spellStart"/>
      <w:r w:rsidRPr="00C36B2A">
        <w:rPr>
          <w:rFonts w:cstheme="majorHAnsi"/>
          <w:lang w:val="en-AU"/>
        </w:rPr>
        <w:t>Morgeson</w:t>
      </w:r>
      <w:proofErr w:type="spellEnd"/>
      <w:r w:rsidRPr="00C36B2A">
        <w:rPr>
          <w:rFonts w:cstheme="majorHAnsi"/>
          <w:lang w:val="en-AU"/>
        </w:rPr>
        <w:t xml:space="preserve">, F. P., &amp; Hofmann, D. A. (2011). Safety at work: A meta-analytic investigation of the link between job </w:t>
      </w:r>
      <w:proofErr w:type="gramStart"/>
      <w:r w:rsidRPr="00C36B2A">
        <w:rPr>
          <w:rFonts w:cstheme="majorHAnsi"/>
          <w:lang w:val="en-AU"/>
        </w:rPr>
        <w:t>demands,</w:t>
      </w:r>
      <w:proofErr w:type="gramEnd"/>
      <w:r w:rsidRPr="00C36B2A">
        <w:rPr>
          <w:rFonts w:cstheme="majorHAnsi"/>
          <w:lang w:val="en-AU"/>
        </w:rPr>
        <w:t xml:space="preserve"> job resources, burnout, engagement, and safety outcomes. Journal of Applied Psychology, 96,</w:t>
      </w:r>
    </w:p>
    <w:p w14:paraId="3D94ED3A" w14:textId="77777777" w:rsidR="00CB6193" w:rsidRPr="00C36B2A" w:rsidRDefault="00CB6193" w:rsidP="00CB6193">
      <w:pPr>
        <w:spacing w:line="276" w:lineRule="auto"/>
        <w:rPr>
          <w:rFonts w:cstheme="majorHAnsi"/>
          <w:lang w:val="en-AU"/>
        </w:rPr>
      </w:pPr>
      <w:r w:rsidRPr="00C36B2A">
        <w:rPr>
          <w:rFonts w:cstheme="majorHAnsi"/>
          <w:lang w:val="en-AU"/>
        </w:rPr>
        <w:t>71–94.</w:t>
      </w:r>
    </w:p>
    <w:p w14:paraId="155D8CC2" w14:textId="77777777" w:rsidR="00CB6193" w:rsidRPr="00C36B2A" w:rsidRDefault="00CB6193" w:rsidP="00CB6193">
      <w:pPr>
        <w:spacing w:line="276" w:lineRule="auto"/>
        <w:rPr>
          <w:rFonts w:cstheme="majorHAnsi"/>
          <w:lang w:val="en-AU"/>
        </w:rPr>
      </w:pPr>
    </w:p>
    <w:p w14:paraId="40EDBB47" w14:textId="77777777" w:rsidR="00CB6193" w:rsidRPr="00C36B2A" w:rsidRDefault="00CB6193" w:rsidP="00CB6193">
      <w:pPr>
        <w:spacing w:line="276" w:lineRule="auto"/>
        <w:rPr>
          <w:rFonts w:cstheme="majorHAnsi"/>
          <w:lang w:val="en-AU"/>
        </w:rPr>
      </w:pPr>
      <w:r w:rsidRPr="00C36B2A">
        <w:rPr>
          <w:rFonts w:cstheme="majorHAnsi"/>
          <w:lang w:val="en-AU"/>
        </w:rPr>
        <w:t>Parker, S. K., Axtell, C. M., &amp; Turner, N. (2001). Designing a safer workplace: Importance of job</w:t>
      </w:r>
    </w:p>
    <w:p w14:paraId="7B367399" w14:textId="77777777" w:rsidR="00CB6193" w:rsidRPr="00C36B2A" w:rsidRDefault="00CB6193" w:rsidP="00CB6193">
      <w:pPr>
        <w:spacing w:line="276" w:lineRule="auto"/>
        <w:rPr>
          <w:rFonts w:cstheme="majorHAnsi"/>
          <w:lang w:val="en-AU"/>
        </w:rPr>
      </w:pPr>
      <w:r w:rsidRPr="00C36B2A">
        <w:rPr>
          <w:rFonts w:cstheme="majorHAnsi"/>
          <w:lang w:val="en-AU"/>
        </w:rPr>
        <w:t>autonomy, communication quality, and supportive supervisors. Journal of Occupational Health</w:t>
      </w:r>
    </w:p>
    <w:p w14:paraId="72FDA87E" w14:textId="77777777" w:rsidR="00CB6193" w:rsidRPr="00C36B2A" w:rsidRDefault="00CB6193" w:rsidP="00CB6193">
      <w:pPr>
        <w:spacing w:line="276" w:lineRule="auto"/>
        <w:rPr>
          <w:rFonts w:cstheme="majorHAnsi"/>
          <w:lang w:val="en-AU"/>
        </w:rPr>
      </w:pPr>
      <w:r w:rsidRPr="00C36B2A">
        <w:rPr>
          <w:rFonts w:cstheme="majorHAnsi"/>
          <w:lang w:val="en-AU"/>
        </w:rPr>
        <w:t>Psychology, 6, 211–228.</w:t>
      </w:r>
    </w:p>
    <w:p w14:paraId="0835E9FB" w14:textId="77777777" w:rsidR="00CB6193" w:rsidRPr="00C36B2A" w:rsidRDefault="00CB6193" w:rsidP="00CB6193">
      <w:pPr>
        <w:spacing w:line="276" w:lineRule="auto"/>
        <w:rPr>
          <w:rFonts w:cstheme="majorHAnsi"/>
          <w:lang w:val="en-AU"/>
        </w:rPr>
      </w:pPr>
    </w:p>
    <w:p w14:paraId="175DED92" w14:textId="160D4BE5" w:rsidR="00CB6193" w:rsidRDefault="00CB6193" w:rsidP="00CB6193">
      <w:pPr>
        <w:spacing w:line="276" w:lineRule="auto"/>
        <w:rPr>
          <w:rFonts w:cstheme="majorHAnsi"/>
          <w:lang w:val="en-AU"/>
        </w:rPr>
      </w:pPr>
      <w:proofErr w:type="spellStart"/>
      <w:r w:rsidRPr="00C36B2A">
        <w:rPr>
          <w:rFonts w:cstheme="majorHAnsi"/>
          <w:lang w:val="en-AU"/>
        </w:rPr>
        <w:t>Petitta</w:t>
      </w:r>
      <w:proofErr w:type="spellEnd"/>
      <w:r w:rsidRPr="00C36B2A">
        <w:rPr>
          <w:rFonts w:cstheme="majorHAnsi"/>
          <w:lang w:val="en-AU"/>
        </w:rPr>
        <w:t xml:space="preserve">, L., Probst, T. M., </w:t>
      </w:r>
      <w:proofErr w:type="spellStart"/>
      <w:r w:rsidRPr="00C36B2A">
        <w:rPr>
          <w:rFonts w:cstheme="majorHAnsi"/>
          <w:lang w:val="en-AU"/>
        </w:rPr>
        <w:t>Ghezzi</w:t>
      </w:r>
      <w:proofErr w:type="spellEnd"/>
      <w:r w:rsidRPr="00C36B2A">
        <w:rPr>
          <w:rFonts w:cstheme="majorHAnsi"/>
          <w:lang w:val="en-AU"/>
        </w:rPr>
        <w:t xml:space="preserve">, V., &amp; </w:t>
      </w:r>
      <w:proofErr w:type="spellStart"/>
      <w:r w:rsidRPr="00C36B2A">
        <w:rPr>
          <w:rFonts w:cstheme="majorHAnsi"/>
          <w:lang w:val="en-AU"/>
        </w:rPr>
        <w:t>Barbaranelli</w:t>
      </w:r>
      <w:proofErr w:type="spellEnd"/>
      <w:r w:rsidRPr="00C36B2A">
        <w:rPr>
          <w:rFonts w:cstheme="majorHAnsi"/>
          <w:lang w:val="en-AU"/>
        </w:rPr>
        <w:t>, C. (2021). The impact of emotional contagion on workplace safety: Investigating the roles of sleep, health, and production pressure. Current Psychology, 1-15.</w:t>
      </w:r>
    </w:p>
    <w:p w14:paraId="17254CF6" w14:textId="0D0638C3" w:rsidR="00A13496" w:rsidRDefault="00A13496" w:rsidP="00CB6193">
      <w:pPr>
        <w:spacing w:line="276" w:lineRule="auto"/>
        <w:rPr>
          <w:rFonts w:cstheme="majorHAnsi"/>
          <w:lang w:val="en-AU"/>
        </w:rPr>
      </w:pPr>
    </w:p>
    <w:p w14:paraId="42BC3794" w14:textId="42B5C402" w:rsidR="00A13496" w:rsidRPr="00C36B2A" w:rsidRDefault="00A13496" w:rsidP="00CB6193">
      <w:pPr>
        <w:spacing w:line="276" w:lineRule="auto"/>
        <w:rPr>
          <w:rFonts w:cstheme="majorHAnsi"/>
          <w:lang w:val="en-AU"/>
        </w:rPr>
      </w:pPr>
      <w:r w:rsidRPr="00A13496">
        <w:rPr>
          <w:rFonts w:cstheme="majorHAnsi"/>
          <w:lang w:val="en-AU"/>
        </w:rPr>
        <w:t>Productivity Commission, Australian Government. (October, 2019b). Mental Health, Draft Report, Volume 2. Retrieved September 24, 2020, from https://www.pc.gov.au/inquiries/completed/mental-health/draft/mental-health-draft-volume2.pdf</w:t>
      </w:r>
      <w:r w:rsidR="00B96F8D">
        <w:rPr>
          <w:rFonts w:cstheme="majorHAnsi"/>
          <w:lang w:val="en-AU"/>
        </w:rPr>
        <w:t>.</w:t>
      </w:r>
    </w:p>
    <w:p w14:paraId="096FB40A" w14:textId="70C193E0" w:rsidR="00CB6193" w:rsidRPr="00C36B2A" w:rsidRDefault="00CB6193" w:rsidP="00CB6193">
      <w:pPr>
        <w:spacing w:line="276" w:lineRule="auto"/>
        <w:rPr>
          <w:rFonts w:cstheme="majorHAnsi"/>
          <w:lang w:val="en-AU"/>
        </w:rPr>
      </w:pPr>
    </w:p>
    <w:p w14:paraId="4D52F37B" w14:textId="30839768" w:rsidR="0006036C" w:rsidRPr="00C36B2A" w:rsidRDefault="0006036C" w:rsidP="00CB6193">
      <w:pPr>
        <w:spacing w:line="276" w:lineRule="auto"/>
        <w:rPr>
          <w:rFonts w:cstheme="majorHAnsi"/>
          <w:lang w:val="en-AU"/>
        </w:rPr>
      </w:pPr>
      <w:r w:rsidRPr="00C36B2A">
        <w:rPr>
          <w:rFonts w:cstheme="majorHAnsi"/>
          <w:lang w:val="en-AU"/>
        </w:rPr>
        <w:t>Rosenberg, B. D., &amp; Siegel, J. T. (2018). A 50-year review of psychological reactance theory: Do not read this article. Motivation Science, 4, 281</w:t>
      </w:r>
      <w:r w:rsidR="002F37CE" w:rsidRPr="00C36B2A">
        <w:rPr>
          <w:rFonts w:cstheme="majorHAnsi"/>
          <w:lang w:val="en-AU"/>
        </w:rPr>
        <w:t>-300</w:t>
      </w:r>
      <w:r w:rsidRPr="00C36B2A">
        <w:rPr>
          <w:rFonts w:cstheme="majorHAnsi"/>
          <w:lang w:val="en-AU"/>
        </w:rPr>
        <w:t>.</w:t>
      </w:r>
    </w:p>
    <w:p w14:paraId="0D9A5305" w14:textId="77777777" w:rsidR="0006036C" w:rsidRPr="00C36B2A" w:rsidRDefault="0006036C" w:rsidP="00CB6193">
      <w:pPr>
        <w:spacing w:line="276" w:lineRule="auto"/>
        <w:rPr>
          <w:rFonts w:cstheme="majorHAnsi"/>
          <w:lang w:val="en-AU"/>
        </w:rPr>
      </w:pPr>
    </w:p>
    <w:p w14:paraId="1D5A8760" w14:textId="77777777" w:rsidR="00CB6193" w:rsidRPr="00C36B2A" w:rsidRDefault="00CB6193" w:rsidP="00CB6193">
      <w:pPr>
        <w:spacing w:line="276" w:lineRule="auto"/>
        <w:rPr>
          <w:rFonts w:cstheme="majorHAnsi"/>
          <w:lang w:val="en-AU"/>
        </w:rPr>
      </w:pPr>
      <w:r w:rsidRPr="00C36B2A">
        <w:rPr>
          <w:rFonts w:cstheme="majorHAnsi"/>
          <w:lang w:val="en-AU"/>
        </w:rPr>
        <w:t xml:space="preserve">Stride, C. B., Turner, N., </w:t>
      </w:r>
      <w:proofErr w:type="spellStart"/>
      <w:r w:rsidRPr="00C36B2A">
        <w:rPr>
          <w:rFonts w:cstheme="majorHAnsi"/>
          <w:lang w:val="en-AU"/>
        </w:rPr>
        <w:t>Hershcovis</w:t>
      </w:r>
      <w:proofErr w:type="spellEnd"/>
      <w:r w:rsidRPr="00C36B2A">
        <w:rPr>
          <w:rFonts w:cstheme="majorHAnsi"/>
          <w:lang w:val="en-AU"/>
        </w:rPr>
        <w:t>, M. S., Reich, T. C., Clegg, C. W., &amp; Murphy, P. (2013). Negative safety events as correlates of work-safety tension. Safety Science, 53, 45–50</w:t>
      </w:r>
    </w:p>
    <w:p w14:paraId="35083A01" w14:textId="4F8BD7BB" w:rsidR="00CB6193" w:rsidRPr="00C36B2A" w:rsidRDefault="00CB6193" w:rsidP="00CB6193">
      <w:pPr>
        <w:spacing w:line="276" w:lineRule="auto"/>
        <w:rPr>
          <w:rFonts w:cstheme="majorHAnsi"/>
          <w:lang w:val="en-AU"/>
        </w:rPr>
      </w:pPr>
    </w:p>
    <w:p w14:paraId="42DFFE85" w14:textId="76E5D7D7" w:rsidR="00994726" w:rsidRPr="00C36B2A" w:rsidRDefault="00994726" w:rsidP="00CB6193">
      <w:pPr>
        <w:spacing w:line="276" w:lineRule="auto"/>
        <w:rPr>
          <w:rFonts w:cstheme="majorHAnsi"/>
          <w:lang w:val="en-AU"/>
        </w:rPr>
      </w:pPr>
      <w:proofErr w:type="spellStart"/>
      <w:r w:rsidRPr="00C36B2A">
        <w:rPr>
          <w:rFonts w:cstheme="majorHAnsi"/>
          <w:lang w:val="en-AU"/>
        </w:rPr>
        <w:t>Vansteenkiste</w:t>
      </w:r>
      <w:proofErr w:type="spellEnd"/>
      <w:r w:rsidRPr="00C36B2A">
        <w:rPr>
          <w:rFonts w:cstheme="majorHAnsi"/>
          <w:lang w:val="en-AU"/>
        </w:rPr>
        <w:t>, M., Simons, J., Lens, W., Sheldon, K. M., &amp; Deci, E. L. (2004). Motivating learning, performance, and persistence: the synergistic effects of intrinsic goal contents and autonomy-supportive contexts. Journal of Personality and Social Psychology, 87(2), 246</w:t>
      </w:r>
      <w:r w:rsidR="00C671AA" w:rsidRPr="00C36B2A">
        <w:rPr>
          <w:rFonts w:cstheme="majorHAnsi"/>
          <w:lang w:val="en-AU"/>
        </w:rPr>
        <w:t>-260</w:t>
      </w:r>
      <w:r w:rsidRPr="00C36B2A">
        <w:rPr>
          <w:rFonts w:cstheme="majorHAnsi"/>
          <w:lang w:val="en-AU"/>
        </w:rPr>
        <w:t>.</w:t>
      </w:r>
    </w:p>
    <w:p w14:paraId="2EBCC5D5" w14:textId="77777777" w:rsidR="00994726" w:rsidRPr="00C36B2A" w:rsidRDefault="00994726" w:rsidP="00CB6193">
      <w:pPr>
        <w:spacing w:line="276" w:lineRule="auto"/>
        <w:rPr>
          <w:rFonts w:cstheme="majorHAnsi"/>
          <w:lang w:val="en-AU"/>
        </w:rPr>
      </w:pPr>
    </w:p>
    <w:p w14:paraId="17A600D2" w14:textId="77777777" w:rsidR="00CB6193" w:rsidRPr="00C36B2A" w:rsidRDefault="00CB6193" w:rsidP="00CB6193">
      <w:pPr>
        <w:spacing w:line="276" w:lineRule="auto"/>
        <w:rPr>
          <w:rFonts w:cstheme="majorHAnsi"/>
          <w:lang w:val="en-AU"/>
        </w:rPr>
      </w:pPr>
      <w:r w:rsidRPr="00C36B2A">
        <w:rPr>
          <w:rFonts w:cstheme="majorHAnsi"/>
          <w:lang w:val="en-AU"/>
        </w:rPr>
        <w:t xml:space="preserve">Watson, G. W., Scott, D., Bishop, J., &amp; </w:t>
      </w:r>
      <w:proofErr w:type="spellStart"/>
      <w:r w:rsidRPr="00C36B2A">
        <w:rPr>
          <w:rFonts w:cstheme="majorHAnsi"/>
          <w:lang w:val="en-AU"/>
        </w:rPr>
        <w:t>Turnbeaugh</w:t>
      </w:r>
      <w:proofErr w:type="spellEnd"/>
      <w:r w:rsidRPr="00C36B2A">
        <w:rPr>
          <w:rFonts w:cstheme="majorHAnsi"/>
          <w:lang w:val="en-AU"/>
        </w:rPr>
        <w:t xml:space="preserve">, T. (2005). Dimensions of interpersonal relationships and safety in the steel industry. Journal of Business and Psychology, 19, 303–318. </w:t>
      </w:r>
    </w:p>
    <w:p w14:paraId="567A4491" w14:textId="77777777" w:rsidR="00CB6193" w:rsidRPr="00C36B2A" w:rsidRDefault="00CB6193" w:rsidP="00CB6193">
      <w:pPr>
        <w:spacing w:line="276" w:lineRule="auto"/>
        <w:rPr>
          <w:rFonts w:cstheme="majorHAnsi"/>
          <w:lang w:val="en-AU"/>
        </w:rPr>
      </w:pPr>
    </w:p>
    <w:p w14:paraId="2BA54512" w14:textId="77777777" w:rsidR="00CB6193" w:rsidRPr="00C36B2A" w:rsidRDefault="00CB6193" w:rsidP="00CB6193">
      <w:pPr>
        <w:spacing w:line="276" w:lineRule="auto"/>
        <w:rPr>
          <w:rFonts w:cstheme="majorHAnsi"/>
          <w:lang w:val="en-AU"/>
        </w:rPr>
      </w:pPr>
      <w:r w:rsidRPr="00C36B2A">
        <w:rPr>
          <w:rFonts w:cstheme="majorHAnsi"/>
          <w:lang w:val="en-AU"/>
        </w:rPr>
        <w:t>Werner, C. M., Stoll, R., Birch, P., &amp; White, P. H. (2002). Clinical validation and cognitive elaboration: Signs that encourage sustained recycling. Basic and Applied Social Psychology, 24, 185-203.</w:t>
      </w:r>
    </w:p>
    <w:p w14:paraId="7E578792" w14:textId="6053F6F7" w:rsidR="00CB6193" w:rsidRPr="00C36B2A" w:rsidRDefault="00CB6193" w:rsidP="00CB6193">
      <w:pPr>
        <w:spacing w:line="276" w:lineRule="auto"/>
        <w:rPr>
          <w:rFonts w:cstheme="majorHAnsi"/>
          <w:lang w:val="en-AU"/>
        </w:rPr>
      </w:pPr>
    </w:p>
    <w:p w14:paraId="103654C0" w14:textId="1B3A7AB5" w:rsidR="004B4A3A" w:rsidRPr="00C36B2A" w:rsidRDefault="004B4A3A" w:rsidP="00CB6193">
      <w:pPr>
        <w:spacing w:line="276" w:lineRule="auto"/>
        <w:rPr>
          <w:rFonts w:cstheme="majorHAnsi"/>
          <w:lang w:val="en-AU"/>
        </w:rPr>
      </w:pPr>
      <w:proofErr w:type="spellStart"/>
      <w:r w:rsidRPr="00C36B2A">
        <w:rPr>
          <w:rFonts w:cstheme="majorHAnsi"/>
          <w:lang w:val="en-AU"/>
        </w:rPr>
        <w:t>Verzobio</w:t>
      </w:r>
      <w:proofErr w:type="spellEnd"/>
      <w:r w:rsidRPr="00C36B2A">
        <w:rPr>
          <w:rFonts w:cstheme="majorHAnsi"/>
          <w:lang w:val="en-AU"/>
        </w:rPr>
        <w:t xml:space="preserve">, A., </w:t>
      </w:r>
      <w:proofErr w:type="spellStart"/>
      <w:r w:rsidRPr="00C36B2A">
        <w:rPr>
          <w:rFonts w:cstheme="majorHAnsi"/>
          <w:lang w:val="en-AU"/>
        </w:rPr>
        <w:t>Bolognani</w:t>
      </w:r>
      <w:proofErr w:type="spellEnd"/>
      <w:r w:rsidRPr="00C36B2A">
        <w:rPr>
          <w:rFonts w:cstheme="majorHAnsi"/>
          <w:lang w:val="en-AU"/>
        </w:rPr>
        <w:t xml:space="preserve">, D., Quigley, J., &amp; </w:t>
      </w:r>
      <w:proofErr w:type="spellStart"/>
      <w:r w:rsidRPr="00C36B2A">
        <w:rPr>
          <w:rFonts w:cstheme="majorHAnsi"/>
          <w:lang w:val="en-AU"/>
        </w:rPr>
        <w:t>Zonta</w:t>
      </w:r>
      <w:proofErr w:type="spellEnd"/>
      <w:r w:rsidRPr="00C36B2A">
        <w:rPr>
          <w:rFonts w:cstheme="majorHAnsi"/>
          <w:lang w:val="en-AU"/>
        </w:rPr>
        <w:t>, D. (2021). Consequences of representativeness bias on SHM-based decision-making. Structure and Infrastructure Engineering, 1-13.</w:t>
      </w:r>
    </w:p>
    <w:p w14:paraId="2D8221C9" w14:textId="77777777" w:rsidR="004B4A3A" w:rsidRPr="00C36B2A" w:rsidRDefault="004B4A3A" w:rsidP="00CB6193">
      <w:pPr>
        <w:spacing w:line="276" w:lineRule="auto"/>
        <w:rPr>
          <w:rFonts w:cstheme="majorHAnsi"/>
          <w:lang w:val="en-AU"/>
        </w:rPr>
      </w:pPr>
    </w:p>
    <w:p w14:paraId="7EF8E98A" w14:textId="77777777" w:rsidR="00CB6193" w:rsidRPr="00C36B2A" w:rsidRDefault="00CB6193" w:rsidP="00CB6193">
      <w:pPr>
        <w:spacing w:line="276" w:lineRule="auto"/>
        <w:rPr>
          <w:rFonts w:cstheme="majorHAnsi"/>
          <w:lang w:val="en-AU"/>
        </w:rPr>
      </w:pPr>
      <w:proofErr w:type="spellStart"/>
      <w:r w:rsidRPr="00C36B2A">
        <w:rPr>
          <w:rFonts w:cstheme="majorHAnsi"/>
          <w:lang w:val="en-AU"/>
        </w:rPr>
        <w:t>Vohs</w:t>
      </w:r>
      <w:proofErr w:type="spellEnd"/>
      <w:r w:rsidRPr="00C36B2A">
        <w:rPr>
          <w:rFonts w:cstheme="majorHAnsi"/>
          <w:lang w:val="en-AU"/>
        </w:rPr>
        <w:t xml:space="preserve">, K. D., Redden, J. P., &amp; </w:t>
      </w:r>
      <w:proofErr w:type="spellStart"/>
      <w:r w:rsidRPr="00C36B2A">
        <w:rPr>
          <w:rFonts w:cstheme="majorHAnsi"/>
          <w:lang w:val="en-AU"/>
        </w:rPr>
        <w:t>Rahinel</w:t>
      </w:r>
      <w:proofErr w:type="spellEnd"/>
      <w:r w:rsidRPr="00C36B2A">
        <w:rPr>
          <w:rFonts w:cstheme="majorHAnsi"/>
          <w:lang w:val="en-AU"/>
        </w:rPr>
        <w:t>, R. (2013). Physical order produces healthy choices, generosity, and conventionality, whereas disorder produces creativity. Psychological Science, 24, 1860-1867.</w:t>
      </w:r>
    </w:p>
    <w:p w14:paraId="2E245CED" w14:textId="77777777" w:rsidR="00CB6193" w:rsidRPr="00C36B2A" w:rsidRDefault="00CB6193" w:rsidP="00CB6193">
      <w:pPr>
        <w:spacing w:line="276" w:lineRule="auto"/>
        <w:rPr>
          <w:rFonts w:cstheme="majorHAnsi"/>
          <w:lang w:val="en-AU"/>
        </w:rPr>
      </w:pPr>
    </w:p>
    <w:p w14:paraId="440DCB6F" w14:textId="77777777" w:rsidR="00CB6193" w:rsidRPr="00C36B2A" w:rsidRDefault="00CB6193" w:rsidP="00CB6193">
      <w:pPr>
        <w:spacing w:line="276" w:lineRule="auto"/>
        <w:rPr>
          <w:rFonts w:cstheme="majorHAnsi"/>
          <w:lang w:val="en-AU"/>
        </w:rPr>
      </w:pPr>
      <w:r w:rsidRPr="00C36B2A">
        <w:rPr>
          <w:rFonts w:cstheme="majorHAnsi"/>
          <w:lang w:val="en-AU"/>
        </w:rPr>
        <w:t xml:space="preserve">Yang, L.-Q., Zheng, X., Liu, X., Lu, C.-q., &amp; </w:t>
      </w:r>
      <w:proofErr w:type="spellStart"/>
      <w:r w:rsidRPr="00C36B2A">
        <w:rPr>
          <w:rFonts w:cstheme="majorHAnsi"/>
          <w:lang w:val="en-AU"/>
        </w:rPr>
        <w:t>Schaubroeck</w:t>
      </w:r>
      <w:proofErr w:type="spellEnd"/>
      <w:r w:rsidRPr="00C36B2A">
        <w:rPr>
          <w:rFonts w:cstheme="majorHAnsi"/>
          <w:lang w:val="en-AU"/>
        </w:rPr>
        <w:t>, J. M. (2020). Abusive supervision, thwarted belongingness, and workplace safety: A group engagement perspective. Journal of Applied Psychology, 105(3), 230–244.</w:t>
      </w:r>
    </w:p>
    <w:p w14:paraId="60424B45" w14:textId="77777777" w:rsidR="00CB6193" w:rsidRPr="00C36B2A" w:rsidRDefault="00CB6193" w:rsidP="00CB6193">
      <w:pPr>
        <w:spacing w:line="276" w:lineRule="auto"/>
        <w:rPr>
          <w:rFonts w:cstheme="majorHAnsi"/>
          <w:lang w:val="en-AU"/>
        </w:rPr>
      </w:pPr>
    </w:p>
    <w:p w14:paraId="6A4E901F" w14:textId="77777777" w:rsidR="00CB6193" w:rsidRPr="00C36B2A" w:rsidRDefault="00CB6193" w:rsidP="00CB6193">
      <w:pPr>
        <w:spacing w:line="276" w:lineRule="auto"/>
        <w:rPr>
          <w:rFonts w:cstheme="majorHAnsi"/>
          <w:lang w:val="en-AU"/>
        </w:rPr>
      </w:pPr>
      <w:r w:rsidRPr="00C36B2A">
        <w:rPr>
          <w:rFonts w:cstheme="majorHAnsi"/>
          <w:lang w:val="en-AU"/>
        </w:rPr>
        <w:t>Zohar, D. (2002). Modifying supervisory practices to improve subunit safety: A leadership-based intervention model. Journal of Applied Psychology, 87, 156–163</w:t>
      </w:r>
    </w:p>
    <w:p w14:paraId="62FBF157" w14:textId="77777777" w:rsidR="00CB6193" w:rsidRPr="00C36B2A" w:rsidRDefault="00CB6193" w:rsidP="00CB6193">
      <w:pPr>
        <w:spacing w:line="276" w:lineRule="auto"/>
        <w:rPr>
          <w:rFonts w:cstheme="majorHAnsi"/>
          <w:lang w:val="en-AU"/>
        </w:rPr>
      </w:pPr>
    </w:p>
    <w:p w14:paraId="76668F03" w14:textId="77777777" w:rsidR="00CB6193" w:rsidRPr="00C36B2A" w:rsidRDefault="00CB6193" w:rsidP="00CB6193">
      <w:pPr>
        <w:spacing w:line="276" w:lineRule="auto"/>
        <w:rPr>
          <w:rFonts w:cstheme="majorHAnsi"/>
          <w:lang w:val="en-AU"/>
        </w:rPr>
      </w:pPr>
      <w:r w:rsidRPr="00C36B2A">
        <w:rPr>
          <w:rFonts w:cstheme="majorHAnsi"/>
          <w:lang w:val="en-AU"/>
        </w:rPr>
        <w:t>Zohar, D., &amp; Luria, G. (2005). A multilevel model of safety climate: Cross-level relationships between organization and group-level climates. Journal of Applied Psychology, 90(4), 616–628.</w:t>
      </w:r>
    </w:p>
    <w:p w14:paraId="57896252" w14:textId="77777777" w:rsidR="00CB6193" w:rsidRPr="00C36B2A" w:rsidRDefault="00CB6193" w:rsidP="00CB6193">
      <w:pPr>
        <w:spacing w:line="276" w:lineRule="auto"/>
        <w:rPr>
          <w:rFonts w:cstheme="majorHAnsi"/>
          <w:lang w:val="en-AU"/>
        </w:rPr>
      </w:pPr>
    </w:p>
    <w:p w14:paraId="4C8DC3EC" w14:textId="77777777" w:rsidR="00CB6193" w:rsidRPr="00C36B2A" w:rsidRDefault="00CB6193" w:rsidP="00CB6193">
      <w:pPr>
        <w:spacing w:line="276" w:lineRule="auto"/>
        <w:rPr>
          <w:rFonts w:cstheme="majorHAnsi"/>
          <w:lang w:val="en-AU"/>
        </w:rPr>
      </w:pPr>
      <w:r w:rsidRPr="00C36B2A">
        <w:rPr>
          <w:rFonts w:cstheme="majorHAnsi"/>
          <w:lang w:val="en-AU"/>
        </w:rPr>
        <w:t xml:space="preserve">Zhong, C., </w:t>
      </w:r>
      <w:proofErr w:type="spellStart"/>
      <w:r w:rsidRPr="00C36B2A">
        <w:rPr>
          <w:rFonts w:cstheme="majorHAnsi"/>
          <w:lang w:val="en-AU"/>
        </w:rPr>
        <w:t>Bohns</w:t>
      </w:r>
      <w:proofErr w:type="spellEnd"/>
      <w:r w:rsidRPr="00C36B2A">
        <w:rPr>
          <w:rFonts w:cstheme="majorHAnsi"/>
          <w:lang w:val="en-AU"/>
        </w:rPr>
        <w:t xml:space="preserve">, V. K., &amp; Gino, F. (2010). Good lamps are the best police: Darkness increases dishonesty and self-interested </w:t>
      </w:r>
      <w:proofErr w:type="spellStart"/>
      <w:r w:rsidRPr="00C36B2A">
        <w:rPr>
          <w:rFonts w:cstheme="majorHAnsi"/>
          <w:lang w:val="en-AU"/>
        </w:rPr>
        <w:t>behavior</w:t>
      </w:r>
      <w:proofErr w:type="spellEnd"/>
      <w:r w:rsidRPr="00C36B2A">
        <w:rPr>
          <w:rFonts w:cstheme="majorHAnsi"/>
          <w:lang w:val="en-AU"/>
        </w:rPr>
        <w:t>. Psychological Science, 21, 311-314.</w:t>
      </w:r>
    </w:p>
    <w:p w14:paraId="75A2104B" w14:textId="77777777" w:rsidR="00CB6193" w:rsidRPr="00C36B2A" w:rsidRDefault="00CB6193" w:rsidP="00CB6193">
      <w:pPr>
        <w:spacing w:line="276" w:lineRule="auto"/>
        <w:rPr>
          <w:rFonts w:cstheme="majorHAnsi"/>
          <w:lang w:val="en-AU"/>
        </w:rPr>
      </w:pPr>
    </w:p>
    <w:sectPr w:rsidR="00CB6193" w:rsidRPr="00C36B2A"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094E" w14:textId="77777777" w:rsidR="003F7D6C" w:rsidRDefault="003F7D6C" w:rsidP="00452E05">
      <w:r>
        <w:separator/>
      </w:r>
    </w:p>
  </w:endnote>
  <w:endnote w:type="continuationSeparator" w:id="0">
    <w:p w14:paraId="46A74398" w14:textId="77777777" w:rsidR="003F7D6C" w:rsidRDefault="003F7D6C"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C82A" w14:textId="77777777" w:rsidR="003F7D6C" w:rsidRDefault="003F7D6C" w:rsidP="00452E05">
      <w:r>
        <w:separator/>
      </w:r>
    </w:p>
  </w:footnote>
  <w:footnote w:type="continuationSeparator" w:id="0">
    <w:p w14:paraId="404C25D0" w14:textId="77777777" w:rsidR="003F7D6C" w:rsidRDefault="003F7D6C"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3F7D6C">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72AEC"/>
    <w:multiLevelType w:val="hybridMultilevel"/>
    <w:tmpl w:val="8DCC34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52C73"/>
    <w:multiLevelType w:val="hybridMultilevel"/>
    <w:tmpl w:val="FE92BCF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373CFB"/>
    <w:multiLevelType w:val="hybridMultilevel"/>
    <w:tmpl w:val="6FBCE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2F2C81"/>
    <w:multiLevelType w:val="hybridMultilevel"/>
    <w:tmpl w:val="08A60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A2302E"/>
    <w:multiLevelType w:val="hybridMultilevel"/>
    <w:tmpl w:val="287A3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3C4722"/>
    <w:multiLevelType w:val="hybridMultilevel"/>
    <w:tmpl w:val="3BA2333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882AB0"/>
    <w:multiLevelType w:val="hybridMultilevel"/>
    <w:tmpl w:val="ED12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915C5B"/>
    <w:multiLevelType w:val="hybridMultilevel"/>
    <w:tmpl w:val="2F0A0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1B39D6"/>
    <w:multiLevelType w:val="hybridMultilevel"/>
    <w:tmpl w:val="990E4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8A2217"/>
    <w:multiLevelType w:val="hybridMultilevel"/>
    <w:tmpl w:val="2D28A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B365B0"/>
    <w:multiLevelType w:val="hybridMultilevel"/>
    <w:tmpl w:val="A41C3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735E8D"/>
    <w:multiLevelType w:val="hybridMultilevel"/>
    <w:tmpl w:val="43DE1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885060"/>
    <w:multiLevelType w:val="hybridMultilevel"/>
    <w:tmpl w:val="72C44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F46639"/>
    <w:multiLevelType w:val="hybridMultilevel"/>
    <w:tmpl w:val="F4F61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95615B"/>
    <w:multiLevelType w:val="hybridMultilevel"/>
    <w:tmpl w:val="7BC0F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0952AD"/>
    <w:multiLevelType w:val="hybridMultilevel"/>
    <w:tmpl w:val="0720D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42C07570"/>
    <w:multiLevelType w:val="hybridMultilevel"/>
    <w:tmpl w:val="54DCE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9F7ACD"/>
    <w:multiLevelType w:val="hybridMultilevel"/>
    <w:tmpl w:val="9F38C4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5D76F9"/>
    <w:multiLevelType w:val="hybridMultilevel"/>
    <w:tmpl w:val="AA9E096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002E15"/>
    <w:multiLevelType w:val="hybridMultilevel"/>
    <w:tmpl w:val="520E7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CA58FB"/>
    <w:multiLevelType w:val="hybridMultilevel"/>
    <w:tmpl w:val="DA186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D82159"/>
    <w:multiLevelType w:val="hybridMultilevel"/>
    <w:tmpl w:val="274E4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9F5A0B"/>
    <w:multiLevelType w:val="hybridMultilevel"/>
    <w:tmpl w:val="6242F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916317"/>
    <w:multiLevelType w:val="hybridMultilevel"/>
    <w:tmpl w:val="7C345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BF6E51"/>
    <w:multiLevelType w:val="hybridMultilevel"/>
    <w:tmpl w:val="B7C4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9306E3"/>
    <w:multiLevelType w:val="hybridMultilevel"/>
    <w:tmpl w:val="EB62B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E07FC4"/>
    <w:multiLevelType w:val="hybridMultilevel"/>
    <w:tmpl w:val="7D3E4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0"/>
  </w:num>
  <w:num w:numId="3">
    <w:abstractNumId w:val="11"/>
  </w:num>
  <w:num w:numId="4">
    <w:abstractNumId w:val="31"/>
  </w:num>
  <w:num w:numId="5">
    <w:abstractNumId w:val="5"/>
  </w:num>
  <w:num w:numId="6">
    <w:abstractNumId w:val="20"/>
  </w:num>
  <w:num w:numId="7">
    <w:abstractNumId w:val="22"/>
  </w:num>
  <w:num w:numId="8">
    <w:abstractNumId w:val="7"/>
  </w:num>
  <w:num w:numId="9">
    <w:abstractNumId w:val="26"/>
  </w:num>
  <w:num w:numId="10">
    <w:abstractNumId w:val="8"/>
  </w:num>
  <w:num w:numId="11">
    <w:abstractNumId w:val="28"/>
  </w:num>
  <w:num w:numId="12">
    <w:abstractNumId w:val="10"/>
  </w:num>
  <w:num w:numId="13">
    <w:abstractNumId w:val="36"/>
  </w:num>
  <w:num w:numId="14">
    <w:abstractNumId w:val="15"/>
  </w:num>
  <w:num w:numId="15">
    <w:abstractNumId w:val="3"/>
  </w:num>
  <w:num w:numId="16">
    <w:abstractNumId w:val="14"/>
  </w:num>
  <w:num w:numId="17">
    <w:abstractNumId w:val="17"/>
  </w:num>
  <w:num w:numId="18">
    <w:abstractNumId w:val="29"/>
  </w:num>
  <w:num w:numId="19">
    <w:abstractNumId w:val="13"/>
  </w:num>
  <w:num w:numId="20">
    <w:abstractNumId w:val="6"/>
  </w:num>
  <w:num w:numId="21">
    <w:abstractNumId w:val="4"/>
  </w:num>
  <w:num w:numId="22">
    <w:abstractNumId w:val="35"/>
  </w:num>
  <w:num w:numId="23">
    <w:abstractNumId w:val="12"/>
  </w:num>
  <w:num w:numId="24">
    <w:abstractNumId w:val="21"/>
  </w:num>
  <w:num w:numId="25">
    <w:abstractNumId w:val="16"/>
  </w:num>
  <w:num w:numId="26">
    <w:abstractNumId w:val="33"/>
  </w:num>
  <w:num w:numId="27">
    <w:abstractNumId w:val="27"/>
  </w:num>
  <w:num w:numId="28">
    <w:abstractNumId w:val="32"/>
  </w:num>
  <w:num w:numId="29">
    <w:abstractNumId w:val="19"/>
  </w:num>
  <w:num w:numId="30">
    <w:abstractNumId w:val="1"/>
  </w:num>
  <w:num w:numId="31">
    <w:abstractNumId w:val="9"/>
  </w:num>
  <w:num w:numId="32">
    <w:abstractNumId w:val="25"/>
  </w:num>
  <w:num w:numId="33">
    <w:abstractNumId w:val="2"/>
  </w:num>
  <w:num w:numId="34">
    <w:abstractNumId w:val="24"/>
  </w:num>
  <w:num w:numId="35">
    <w:abstractNumId w:val="18"/>
  </w:num>
  <w:num w:numId="36">
    <w:abstractNumId w:val="23"/>
  </w:num>
  <w:num w:numId="37">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484D"/>
    <w:rsid w:val="000072A4"/>
    <w:rsid w:val="00007598"/>
    <w:rsid w:val="0001050D"/>
    <w:rsid w:val="00010DA4"/>
    <w:rsid w:val="000332D9"/>
    <w:rsid w:val="00047135"/>
    <w:rsid w:val="0006036C"/>
    <w:rsid w:val="00065F0F"/>
    <w:rsid w:val="00083219"/>
    <w:rsid w:val="00091F34"/>
    <w:rsid w:val="00092B7C"/>
    <w:rsid w:val="00093FA1"/>
    <w:rsid w:val="000D6105"/>
    <w:rsid w:val="000E1421"/>
    <w:rsid w:val="00123DB6"/>
    <w:rsid w:val="00127477"/>
    <w:rsid w:val="0013427B"/>
    <w:rsid w:val="00136240"/>
    <w:rsid w:val="001565D4"/>
    <w:rsid w:val="001A66E3"/>
    <w:rsid w:val="001B5BCC"/>
    <w:rsid w:val="0022483A"/>
    <w:rsid w:val="00250BD9"/>
    <w:rsid w:val="00263F4A"/>
    <w:rsid w:val="0029790B"/>
    <w:rsid w:val="002F37CE"/>
    <w:rsid w:val="00306880"/>
    <w:rsid w:val="0033676E"/>
    <w:rsid w:val="00347E6A"/>
    <w:rsid w:val="00356EFC"/>
    <w:rsid w:val="00360539"/>
    <w:rsid w:val="0037006E"/>
    <w:rsid w:val="0037485F"/>
    <w:rsid w:val="00384C2A"/>
    <w:rsid w:val="00397830"/>
    <w:rsid w:val="003E30BF"/>
    <w:rsid w:val="003F7D6C"/>
    <w:rsid w:val="0041297D"/>
    <w:rsid w:val="004135F6"/>
    <w:rsid w:val="00444794"/>
    <w:rsid w:val="00452E05"/>
    <w:rsid w:val="00476905"/>
    <w:rsid w:val="00486F32"/>
    <w:rsid w:val="00494903"/>
    <w:rsid w:val="004A0B5F"/>
    <w:rsid w:val="004B4A3A"/>
    <w:rsid w:val="004F37BB"/>
    <w:rsid w:val="004F4508"/>
    <w:rsid w:val="005021EC"/>
    <w:rsid w:val="00525692"/>
    <w:rsid w:val="005364A9"/>
    <w:rsid w:val="005564DE"/>
    <w:rsid w:val="00560EE4"/>
    <w:rsid w:val="00566923"/>
    <w:rsid w:val="00596877"/>
    <w:rsid w:val="005A1AE0"/>
    <w:rsid w:val="005B1C72"/>
    <w:rsid w:val="005B6F71"/>
    <w:rsid w:val="005C0733"/>
    <w:rsid w:val="005E394E"/>
    <w:rsid w:val="005E6863"/>
    <w:rsid w:val="00605E2E"/>
    <w:rsid w:val="00630192"/>
    <w:rsid w:val="006575DD"/>
    <w:rsid w:val="006A6FC6"/>
    <w:rsid w:val="006B54C5"/>
    <w:rsid w:val="00710665"/>
    <w:rsid w:val="00723FFA"/>
    <w:rsid w:val="00725256"/>
    <w:rsid w:val="00752E7B"/>
    <w:rsid w:val="00770459"/>
    <w:rsid w:val="007D0B7D"/>
    <w:rsid w:val="007E32A1"/>
    <w:rsid w:val="007E4752"/>
    <w:rsid w:val="00802D3E"/>
    <w:rsid w:val="00805FBE"/>
    <w:rsid w:val="0081211C"/>
    <w:rsid w:val="0082680B"/>
    <w:rsid w:val="00830E20"/>
    <w:rsid w:val="008326DE"/>
    <w:rsid w:val="00836AAB"/>
    <w:rsid w:val="00853269"/>
    <w:rsid w:val="00870603"/>
    <w:rsid w:val="008A66B6"/>
    <w:rsid w:val="008A6FEB"/>
    <w:rsid w:val="008B2E83"/>
    <w:rsid w:val="008C382A"/>
    <w:rsid w:val="008D4268"/>
    <w:rsid w:val="008E2C0A"/>
    <w:rsid w:val="00924A6A"/>
    <w:rsid w:val="00926D3C"/>
    <w:rsid w:val="009557E8"/>
    <w:rsid w:val="0097246C"/>
    <w:rsid w:val="00986CC4"/>
    <w:rsid w:val="00994726"/>
    <w:rsid w:val="009D673D"/>
    <w:rsid w:val="009F0315"/>
    <w:rsid w:val="009F2203"/>
    <w:rsid w:val="009F4AD0"/>
    <w:rsid w:val="009F657B"/>
    <w:rsid w:val="00A13496"/>
    <w:rsid w:val="00A237CC"/>
    <w:rsid w:val="00A3382D"/>
    <w:rsid w:val="00A51127"/>
    <w:rsid w:val="00A66683"/>
    <w:rsid w:val="00A72D40"/>
    <w:rsid w:val="00A76F8F"/>
    <w:rsid w:val="00A848EB"/>
    <w:rsid w:val="00AC0C50"/>
    <w:rsid w:val="00AC3374"/>
    <w:rsid w:val="00AC432D"/>
    <w:rsid w:val="00AE153D"/>
    <w:rsid w:val="00AF059E"/>
    <w:rsid w:val="00B12FB3"/>
    <w:rsid w:val="00B56094"/>
    <w:rsid w:val="00B658DB"/>
    <w:rsid w:val="00B9245E"/>
    <w:rsid w:val="00B96F8D"/>
    <w:rsid w:val="00BE0325"/>
    <w:rsid w:val="00BE329C"/>
    <w:rsid w:val="00BE538D"/>
    <w:rsid w:val="00C0175B"/>
    <w:rsid w:val="00C15EC5"/>
    <w:rsid w:val="00C36B2A"/>
    <w:rsid w:val="00C62BC1"/>
    <w:rsid w:val="00C671AA"/>
    <w:rsid w:val="00CB6193"/>
    <w:rsid w:val="00CC1B48"/>
    <w:rsid w:val="00D15AA0"/>
    <w:rsid w:val="00D27703"/>
    <w:rsid w:val="00DA6CF7"/>
    <w:rsid w:val="00DB345F"/>
    <w:rsid w:val="00DB4FA5"/>
    <w:rsid w:val="00DC3020"/>
    <w:rsid w:val="00DF18F7"/>
    <w:rsid w:val="00DF40F7"/>
    <w:rsid w:val="00DF43A1"/>
    <w:rsid w:val="00DF47F4"/>
    <w:rsid w:val="00E35FB0"/>
    <w:rsid w:val="00E44A4D"/>
    <w:rsid w:val="00E6167D"/>
    <w:rsid w:val="00E74538"/>
    <w:rsid w:val="00E81C8A"/>
    <w:rsid w:val="00E82E56"/>
    <w:rsid w:val="00E85F7C"/>
    <w:rsid w:val="00E944C1"/>
    <w:rsid w:val="00EC2C66"/>
    <w:rsid w:val="00EF2D03"/>
    <w:rsid w:val="00F11271"/>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CB6193"/>
    <w:pPr>
      <w:spacing w:after="40" w:line="276" w:lineRule="auto"/>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CB619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566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cdu.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0A4C-5A78-48C7-A2B7-7C2BD1B2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3965</Words>
  <Characters>22603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61</cp:revision>
  <cp:lastPrinted>2021-01-27T23:33:00Z</cp:lastPrinted>
  <dcterms:created xsi:type="dcterms:W3CDTF">2021-05-10T02:22:00Z</dcterms:created>
  <dcterms:modified xsi:type="dcterms:W3CDTF">2022-04-04T22:40:00Z</dcterms:modified>
</cp:coreProperties>
</file>