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64918" w14:textId="23885F68" w:rsidR="00C159F7" w:rsidRPr="00661DE7" w:rsidRDefault="00F505C2" w:rsidP="00661DE7">
      <w:pPr>
        <w:pStyle w:val="Title"/>
        <w:spacing w:after="40"/>
        <w:ind w:left="-709" w:right="0"/>
        <w:rPr>
          <w:rFonts w:asciiTheme="majorHAnsi" w:hAnsiTheme="majorHAnsi" w:cstheme="majorHAnsi"/>
          <w:b/>
          <w:bCs w:val="0"/>
          <w:color w:val="201645" w:themeColor="background2"/>
          <w:sz w:val="44"/>
          <w:szCs w:val="48"/>
          <w:lang w:bidi="en-AU"/>
        </w:rPr>
      </w:pPr>
      <w:r w:rsidRPr="00661DE7">
        <w:rPr>
          <w:rFonts w:asciiTheme="majorHAnsi" w:hAnsiTheme="majorHAnsi" w:cstheme="majorHAnsi"/>
          <w:b/>
          <w:bCs w:val="0"/>
          <w:color w:val="201645" w:themeColor="background2"/>
          <w:sz w:val="44"/>
          <w:szCs w:val="48"/>
          <w:lang w:bidi="en-AU"/>
        </w:rPr>
        <w:t>Requirements and Guidelines</w:t>
      </w:r>
      <w:r w:rsidR="00D62BCF" w:rsidRPr="00661DE7">
        <w:rPr>
          <w:rFonts w:asciiTheme="majorHAnsi" w:hAnsiTheme="majorHAnsi" w:cstheme="majorHAnsi"/>
          <w:b/>
          <w:bCs w:val="0"/>
          <w:color w:val="201645" w:themeColor="background2"/>
          <w:sz w:val="44"/>
          <w:szCs w:val="48"/>
          <w:lang w:bidi="en-AU"/>
        </w:rPr>
        <w:t xml:space="preserve"> </w:t>
      </w:r>
    </w:p>
    <w:p w14:paraId="0F519170" w14:textId="77777777" w:rsidR="00EE331B" w:rsidRPr="00661DE7" w:rsidRDefault="00614CCB" w:rsidP="00661DE7">
      <w:pPr>
        <w:pStyle w:val="Title"/>
        <w:spacing w:after="40"/>
        <w:ind w:left="-709" w:right="0"/>
        <w:rPr>
          <w:rFonts w:asciiTheme="majorHAnsi" w:hAnsiTheme="majorHAnsi" w:cstheme="majorHAnsi"/>
          <w:b/>
          <w:bCs w:val="0"/>
          <w:color w:val="201645" w:themeColor="background2"/>
          <w:sz w:val="44"/>
          <w:szCs w:val="48"/>
          <w:lang w:bidi="en-AU"/>
        </w:rPr>
      </w:pPr>
      <w:r w:rsidRPr="00661DE7">
        <w:rPr>
          <w:rFonts w:asciiTheme="majorHAnsi" w:hAnsiTheme="majorHAnsi" w:cstheme="majorHAnsi"/>
          <w:b/>
          <w:bCs w:val="0"/>
          <w:color w:val="201645" w:themeColor="background2"/>
          <w:sz w:val="44"/>
          <w:szCs w:val="48"/>
          <w:lang w:bidi="en-AU"/>
        </w:rPr>
        <w:t>EPE</w:t>
      </w:r>
      <w:r w:rsidR="003A5D2A" w:rsidRPr="00661DE7">
        <w:rPr>
          <w:rFonts w:asciiTheme="majorHAnsi" w:hAnsiTheme="majorHAnsi" w:cstheme="majorHAnsi"/>
          <w:b/>
          <w:bCs w:val="0"/>
          <w:color w:val="201645" w:themeColor="background2"/>
          <w:sz w:val="44"/>
          <w:szCs w:val="48"/>
          <w:lang w:bidi="en-AU"/>
        </w:rPr>
        <w:t>635</w:t>
      </w:r>
      <w:r w:rsidR="00500482" w:rsidRPr="00661DE7">
        <w:rPr>
          <w:rFonts w:asciiTheme="majorHAnsi" w:hAnsiTheme="majorHAnsi" w:cstheme="majorHAnsi"/>
          <w:b/>
          <w:bCs w:val="0"/>
          <w:color w:val="201645" w:themeColor="background2"/>
          <w:sz w:val="44"/>
          <w:szCs w:val="48"/>
          <w:lang w:bidi="en-AU"/>
        </w:rPr>
        <w:t xml:space="preserve"> </w:t>
      </w:r>
      <w:r w:rsidR="003A5D2A" w:rsidRPr="00661DE7">
        <w:rPr>
          <w:rFonts w:asciiTheme="majorHAnsi" w:hAnsiTheme="majorHAnsi" w:cstheme="majorHAnsi"/>
          <w:b/>
          <w:bCs w:val="0"/>
          <w:color w:val="201645" w:themeColor="background2"/>
          <w:sz w:val="44"/>
          <w:szCs w:val="48"/>
          <w:lang w:bidi="en-AU"/>
        </w:rPr>
        <w:t xml:space="preserve">Professional Experience: </w:t>
      </w:r>
    </w:p>
    <w:p w14:paraId="26E32446" w14:textId="6C7CEB08" w:rsidR="00721792" w:rsidRPr="00EE331B" w:rsidRDefault="003A5D2A" w:rsidP="00661DE7">
      <w:pPr>
        <w:pStyle w:val="Title"/>
        <w:spacing w:after="40"/>
        <w:ind w:left="-709" w:right="0"/>
      </w:pPr>
      <w:r w:rsidRPr="00661DE7">
        <w:rPr>
          <w:rFonts w:asciiTheme="majorHAnsi" w:hAnsiTheme="majorHAnsi" w:cstheme="majorHAnsi"/>
          <w:b/>
          <w:bCs w:val="0"/>
          <w:color w:val="201645" w:themeColor="background2"/>
          <w:sz w:val="44"/>
          <w:szCs w:val="48"/>
          <w:lang w:bidi="en-AU"/>
        </w:rPr>
        <w:t>Assessment for Graduate Teachers</w:t>
      </w:r>
    </w:p>
    <w:p w14:paraId="28BED25F" w14:textId="77777777" w:rsidR="00661DE7" w:rsidRDefault="00661DE7" w:rsidP="00390832">
      <w:pPr>
        <w:spacing w:before="60" w:after="60"/>
        <w:ind w:left="-567"/>
        <w:rPr>
          <w:rStyle w:val="Heading2Char"/>
        </w:rPr>
      </w:pPr>
    </w:p>
    <w:p w14:paraId="3F235628" w14:textId="765151DF" w:rsidR="00390832" w:rsidRPr="00661DE7" w:rsidRDefault="00390832" w:rsidP="00390832">
      <w:pPr>
        <w:spacing w:before="60" w:after="60"/>
        <w:ind w:left="-567"/>
        <w:rPr>
          <w:rStyle w:val="Heading2Char"/>
        </w:rPr>
      </w:pPr>
      <w:r>
        <w:rPr>
          <w:rStyle w:val="Heading2Char"/>
        </w:rPr>
        <w:t>Overview of Requirements</w:t>
      </w:r>
    </w:p>
    <w:tbl>
      <w:tblPr>
        <w:tblStyle w:val="TableGrid"/>
        <w:tblW w:w="5551" w:type="pct"/>
        <w:tblInd w:w="-572" w:type="dxa"/>
        <w:tblLook w:val="04A0" w:firstRow="1" w:lastRow="0" w:firstColumn="1" w:lastColumn="0" w:noHBand="0" w:noVBand="1"/>
      </w:tblPr>
      <w:tblGrid>
        <w:gridCol w:w="2895"/>
        <w:gridCol w:w="7594"/>
      </w:tblGrid>
      <w:tr w:rsidR="00390832" w14:paraId="2725928C" w14:textId="77777777" w:rsidTr="004C7E43">
        <w:tc>
          <w:tcPr>
            <w:tcW w:w="1380" w:type="pct"/>
            <w:vAlign w:val="center"/>
          </w:tcPr>
          <w:p w14:paraId="509A5107" w14:textId="77777777" w:rsidR="00561440" w:rsidRPr="003119AA" w:rsidRDefault="00561440" w:rsidP="009164E1">
            <w:pPr>
              <w:pStyle w:val="TABLEBOLD0"/>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3620" w:type="pct"/>
            <w:vAlign w:val="center"/>
          </w:tcPr>
          <w:p w14:paraId="4B235FF8" w14:textId="4F1BCC24" w:rsidR="00561440" w:rsidRPr="00561440" w:rsidRDefault="00561440" w:rsidP="00561440">
            <w:pPr>
              <w:rPr>
                <w:rFonts w:ascii="Calibri Light" w:hAnsi="Calibri Light" w:cs="Calibri Light"/>
                <w:szCs w:val="22"/>
              </w:rPr>
            </w:pPr>
            <w:r w:rsidRPr="00561440">
              <w:rPr>
                <w:rFonts w:ascii="Calibri Light" w:hAnsi="Calibri Light" w:cs="Calibri Light"/>
                <w:szCs w:val="22"/>
              </w:rPr>
              <w:t>EPE635 Professional Experience: Assessment for Graduate Teachers</w:t>
            </w:r>
          </w:p>
        </w:tc>
      </w:tr>
      <w:tr w:rsidR="00390832" w14:paraId="558525B2" w14:textId="77777777" w:rsidTr="004C7E43">
        <w:tc>
          <w:tcPr>
            <w:tcW w:w="1380" w:type="pct"/>
            <w:vAlign w:val="center"/>
          </w:tcPr>
          <w:p w14:paraId="6773DC73" w14:textId="77777777" w:rsidR="00561440" w:rsidRPr="003119AA" w:rsidRDefault="00561440" w:rsidP="009164E1">
            <w:pPr>
              <w:pStyle w:val="TABLEBOLD0"/>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3620" w:type="pct"/>
            <w:vAlign w:val="center"/>
          </w:tcPr>
          <w:p w14:paraId="62DD0E94" w14:textId="0E833278" w:rsidR="00561440" w:rsidRDefault="00561440" w:rsidP="00561440">
            <w:r>
              <w:rPr>
                <w:rFonts w:ascii="Calibri Light" w:hAnsi="Calibri Light" w:cs="Calibri Light"/>
                <w:szCs w:val="22"/>
              </w:rPr>
              <w:t xml:space="preserve">30 days professional experience </w:t>
            </w:r>
          </w:p>
        </w:tc>
      </w:tr>
      <w:tr w:rsidR="00390832" w14:paraId="27375FFB" w14:textId="77777777" w:rsidTr="004C7E43">
        <w:tc>
          <w:tcPr>
            <w:tcW w:w="1380" w:type="pct"/>
            <w:vAlign w:val="center"/>
          </w:tcPr>
          <w:p w14:paraId="3F1AD54A" w14:textId="77777777" w:rsidR="00561440" w:rsidRPr="003119AA" w:rsidRDefault="00561440" w:rsidP="009164E1">
            <w:pPr>
              <w:pStyle w:val="TABLEBOLD0"/>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3620" w:type="pct"/>
            <w:vAlign w:val="center"/>
          </w:tcPr>
          <w:p w14:paraId="02144E19" w14:textId="77777777" w:rsidR="00561440" w:rsidRPr="00561440" w:rsidRDefault="00561440" w:rsidP="00561440">
            <w:pPr>
              <w:spacing w:beforeLines="60" w:before="144" w:afterLines="60" w:after="144"/>
              <w:ind w:left="136"/>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Assessment for Graduate Teaching (AfGT):</w:t>
            </w:r>
          </w:p>
          <w:p w14:paraId="6004BEEE" w14:textId="77777777" w:rsidR="00561440" w:rsidRPr="00561440" w:rsidRDefault="00561440" w:rsidP="00561440">
            <w:pPr>
              <w:numPr>
                <w:ilvl w:val="0"/>
                <w:numId w:val="9"/>
              </w:numPr>
              <w:spacing w:beforeLines="60" w:before="144" w:afterLines="60" w:after="144"/>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Elements 1-3 completed during placement</w:t>
            </w:r>
          </w:p>
          <w:p w14:paraId="43BC3B2F" w14:textId="311D883E" w:rsidR="00561440" w:rsidRDefault="00561440" w:rsidP="00561440">
            <w:pPr>
              <w:numPr>
                <w:ilvl w:val="0"/>
                <w:numId w:val="9"/>
              </w:numPr>
              <w:spacing w:beforeLines="60" w:before="144" w:afterLines="60" w:after="144"/>
              <w:textAlignment w:val="baseline"/>
            </w:pPr>
            <w:r w:rsidRPr="00561440">
              <w:rPr>
                <w:rFonts w:ascii="Calibri Light" w:eastAsia="Times New Roman" w:hAnsi="Calibri Light" w:cs="Calibri Light"/>
                <w:color w:val="auto"/>
                <w:szCs w:val="22"/>
                <w:lang w:eastAsia="en-GB"/>
              </w:rPr>
              <w:t>Element 4 – completed online and separately from the placement</w:t>
            </w:r>
          </w:p>
        </w:tc>
      </w:tr>
      <w:tr w:rsidR="00390832" w14:paraId="08AD1FD2" w14:textId="77777777" w:rsidTr="004C7E43">
        <w:tc>
          <w:tcPr>
            <w:tcW w:w="1380" w:type="pct"/>
            <w:vAlign w:val="center"/>
          </w:tcPr>
          <w:p w14:paraId="1269D4DC" w14:textId="77777777" w:rsidR="00561440" w:rsidRPr="003119AA" w:rsidRDefault="00561440" w:rsidP="009164E1">
            <w:pPr>
              <w:pStyle w:val="TABLEBOLD0"/>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3620" w:type="pct"/>
            <w:vAlign w:val="center"/>
          </w:tcPr>
          <w:p w14:paraId="0117CA00" w14:textId="74956CF1" w:rsidR="00561440" w:rsidRDefault="00561440" w:rsidP="00561440">
            <w:pPr>
              <w:spacing w:beforeLines="60" w:before="144" w:afterLines="60" w:after="144"/>
              <w:ind w:left="136"/>
              <w:textAlignment w:val="baseline"/>
            </w:pPr>
            <w:r w:rsidRPr="00561440">
              <w:t>Completion of Elements, 1, 2 and 3 of the AfGT during 4 weeks of “continuous” teaching</w:t>
            </w:r>
          </w:p>
        </w:tc>
      </w:tr>
      <w:tr w:rsidR="00390832" w:rsidRPr="003119AA" w14:paraId="6777D43E" w14:textId="77777777" w:rsidTr="004C7E43">
        <w:tc>
          <w:tcPr>
            <w:tcW w:w="1380" w:type="pct"/>
            <w:vAlign w:val="center"/>
          </w:tcPr>
          <w:p w14:paraId="74AA6925" w14:textId="77777777" w:rsidR="00561440" w:rsidRPr="003119AA" w:rsidRDefault="00561440" w:rsidP="009164E1">
            <w:pPr>
              <w:pStyle w:val="TABLEBOLD0"/>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3620" w:type="pct"/>
            <w:vAlign w:val="center"/>
          </w:tcPr>
          <w:p w14:paraId="30EE92DC" w14:textId="77777777" w:rsidR="00561440" w:rsidRPr="00561440" w:rsidRDefault="00561440" w:rsidP="00561440">
            <w:pPr>
              <w:spacing w:beforeLines="60" w:before="144" w:afterLines="60" w:after="144"/>
              <w:ind w:left="136"/>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Pre-service teachers are assessed by two reports: An Interim and a Final Report.</w:t>
            </w:r>
          </w:p>
          <w:p w14:paraId="4B84D89D" w14:textId="77777777" w:rsidR="00561440" w:rsidRPr="00561440" w:rsidRDefault="00561440" w:rsidP="00561440">
            <w:pPr>
              <w:numPr>
                <w:ilvl w:val="0"/>
                <w:numId w:val="11"/>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mid-way point in the placement (end of week 3) providing an assessment of how the placement is progressing. The report provides initial feedback to students as well as identifying areas to be specifically focused upon for the remainder of the placement. </w:t>
            </w:r>
          </w:p>
          <w:p w14:paraId="6EC06F39" w14:textId="4276DEF2" w:rsidR="00561440" w:rsidRPr="003119AA" w:rsidRDefault="00561440" w:rsidP="00561440">
            <w:pPr>
              <w:numPr>
                <w:ilvl w:val="0"/>
                <w:numId w:val="11"/>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xml:space="preserve">, based on Graduate Teaching Standards, will outline strengths the student has demonstrated during placement.  Feedback is provided in the form of comments and rankings.  </w:t>
            </w:r>
          </w:p>
        </w:tc>
      </w:tr>
    </w:tbl>
    <w:p w14:paraId="03DEDF24" w14:textId="78DBB9E8" w:rsidR="00390832" w:rsidRDefault="00390832" w:rsidP="00390832">
      <w:pPr>
        <w:spacing w:before="60" w:after="60"/>
        <w:ind w:left="-567"/>
        <w:rPr>
          <w:rStyle w:val="Heading2Char"/>
        </w:rPr>
      </w:pPr>
      <w:r>
        <w:rPr>
          <w:rStyle w:val="Heading2Char"/>
        </w:rPr>
        <w:t>Unit Description</w:t>
      </w:r>
    </w:p>
    <w:p w14:paraId="63CC721C" w14:textId="7F226311" w:rsidR="00561440" w:rsidRPr="00390832" w:rsidRDefault="00390832" w:rsidP="00390832">
      <w:pPr>
        <w:pStyle w:val="body"/>
        <w:spacing w:before="0" w:after="0" w:line="240" w:lineRule="auto"/>
        <w:ind w:left="-567" w:right="-465"/>
        <w:rPr>
          <w:rFonts w:asciiTheme="majorHAnsi" w:eastAsiaTheme="minorHAnsi" w:hAnsiTheme="majorHAnsi" w:cstheme="majorHAnsi"/>
          <w:lang w:val="en-US"/>
        </w:rPr>
      </w:pPr>
      <w:r w:rsidRPr="00390832">
        <w:rPr>
          <w:rFonts w:asciiTheme="majorHAnsi" w:eastAsiaTheme="minorHAnsi" w:hAnsiTheme="majorHAnsi" w:cstheme="majorHAnsi"/>
          <w:lang w:val="en-US"/>
        </w:rPr>
        <w:t>This 30-day professional experience unit is undertaken in a school setting and requires preservice teachers to integrate their professional knowledge with pedagogical practices. The unit employs the Assessment for Graduate Teachers (AfGT) which meets the Australian Government requirements for a Teacher Performance Assessment (TPA). Preservice teachers are required to contextualise their setting, plan for and demonstrate their impact on the learning and assessment of students through structured evidence. Specific assessable activities are undertaken during the placement including the application of theoretical perspectives, research, informed teaching practices, and personal reflection to demonstrate their readiness as a teacher. Specific assessable activities are undertaken during this placement. All assessment tasks must be satisfactorily completed to pass this unit.</w:t>
      </w:r>
    </w:p>
    <w:p w14:paraId="289902FD" w14:textId="3A3A6981" w:rsidR="00390832" w:rsidRPr="00390832" w:rsidRDefault="00390832" w:rsidP="00390832">
      <w:pPr>
        <w:rPr>
          <w:rFonts w:cstheme="majorHAnsi"/>
          <w:szCs w:val="22"/>
        </w:rPr>
      </w:pPr>
    </w:p>
    <w:p w14:paraId="12C01C4C" w14:textId="77777777" w:rsidR="00390832" w:rsidRDefault="00390832" w:rsidP="00FB2838">
      <w:pPr>
        <w:spacing w:before="60" w:after="60"/>
        <w:ind w:left="-567"/>
        <w:rPr>
          <w:rStyle w:val="Heading2Char"/>
        </w:rPr>
      </w:pPr>
      <w:r>
        <w:rPr>
          <w:rStyle w:val="Heading2Char"/>
        </w:rPr>
        <w:t>Unit Learning Outcomes</w:t>
      </w:r>
    </w:p>
    <w:tbl>
      <w:tblPr>
        <w:tblW w:w="5000" w:type="pct"/>
        <w:tblCellSpacing w:w="0" w:type="dxa"/>
        <w:tblInd w:w="-567" w:type="dxa"/>
        <w:shd w:val="clear" w:color="auto" w:fill="FFFFFF"/>
        <w:tblCellMar>
          <w:left w:w="0" w:type="dxa"/>
          <w:right w:w="0" w:type="dxa"/>
        </w:tblCellMar>
        <w:tblLook w:val="04A0" w:firstRow="1" w:lastRow="0" w:firstColumn="1" w:lastColumn="0" w:noHBand="0" w:noVBand="1"/>
      </w:tblPr>
      <w:tblGrid>
        <w:gridCol w:w="251"/>
        <w:gridCol w:w="9207"/>
      </w:tblGrid>
      <w:tr w:rsidR="00390832" w:rsidRPr="00390832" w14:paraId="58CA5950" w14:textId="77777777" w:rsidTr="00390832">
        <w:trPr>
          <w:tblCellSpacing w:w="0" w:type="dxa"/>
        </w:trPr>
        <w:tc>
          <w:tcPr>
            <w:tcW w:w="0" w:type="auto"/>
            <w:shd w:val="clear" w:color="auto" w:fill="FFFFFF"/>
            <w:hideMark/>
          </w:tcPr>
          <w:p w14:paraId="3711C777" w14:textId="77777777" w:rsidR="00390832" w:rsidRPr="00390832" w:rsidRDefault="00390832" w:rsidP="00390832">
            <w:pPr>
              <w:rPr>
                <w:rFonts w:ascii="Arial" w:eastAsia="Times New Roman" w:hAnsi="Arial" w:cs="Arial"/>
                <w:color w:val="000000"/>
                <w:sz w:val="18"/>
                <w:szCs w:val="18"/>
                <w:lang w:val="en-AU" w:eastAsia="en-AU"/>
              </w:rPr>
            </w:pPr>
            <w:r w:rsidRPr="00390832">
              <w:rPr>
                <w:rFonts w:ascii="Arial" w:eastAsia="Times New Roman" w:hAnsi="Arial" w:cs="Arial"/>
                <w:color w:val="000000"/>
                <w:sz w:val="18"/>
                <w:szCs w:val="18"/>
                <w:lang w:val="en-AU" w:eastAsia="en-AU"/>
              </w:rPr>
              <w:t>1.  </w:t>
            </w:r>
          </w:p>
        </w:tc>
        <w:tc>
          <w:tcPr>
            <w:tcW w:w="0" w:type="auto"/>
            <w:shd w:val="clear" w:color="auto" w:fill="FFFFFF"/>
            <w:vAlign w:val="center"/>
            <w:hideMark/>
          </w:tcPr>
          <w:p w14:paraId="401DF846" w14:textId="77777777" w:rsidR="00390832" w:rsidRPr="00390832" w:rsidRDefault="00390832" w:rsidP="00FB2838">
            <w:pPr>
              <w:ind w:left="176"/>
              <w:rPr>
                <w:rFonts w:eastAsia="Times New Roman" w:cstheme="majorHAnsi"/>
                <w:color w:val="000000"/>
                <w:szCs w:val="22"/>
                <w:lang w:val="en-AU" w:eastAsia="en-AU"/>
              </w:rPr>
            </w:pPr>
            <w:r w:rsidRPr="00390832">
              <w:rPr>
                <w:rFonts w:eastAsia="Times New Roman" w:cstheme="majorHAnsi"/>
                <w:color w:val="000000"/>
                <w:szCs w:val="22"/>
                <w:lang w:val="en-AU" w:eastAsia="en-AU"/>
              </w:rPr>
              <w:t>Apply the Australian Professional Standards for Teachers (Graduate level), to evaluate evidence and reflect on teaching practice.</w:t>
            </w:r>
          </w:p>
        </w:tc>
      </w:tr>
      <w:tr w:rsidR="00390832" w:rsidRPr="00390832" w14:paraId="64968489" w14:textId="77777777" w:rsidTr="00390832">
        <w:trPr>
          <w:tblCellSpacing w:w="0" w:type="dxa"/>
        </w:trPr>
        <w:tc>
          <w:tcPr>
            <w:tcW w:w="0" w:type="auto"/>
            <w:shd w:val="clear" w:color="auto" w:fill="FFFFFF"/>
            <w:hideMark/>
          </w:tcPr>
          <w:p w14:paraId="65D141A1" w14:textId="77777777" w:rsidR="00390832" w:rsidRPr="00390832" w:rsidRDefault="00390832" w:rsidP="00390832">
            <w:pPr>
              <w:rPr>
                <w:rFonts w:ascii="Arial" w:eastAsia="Times New Roman" w:hAnsi="Arial" w:cs="Arial"/>
                <w:color w:val="000000"/>
                <w:sz w:val="18"/>
                <w:szCs w:val="18"/>
                <w:lang w:val="en-AU" w:eastAsia="en-AU"/>
              </w:rPr>
            </w:pPr>
            <w:r w:rsidRPr="00390832">
              <w:rPr>
                <w:rFonts w:ascii="Arial" w:eastAsia="Times New Roman" w:hAnsi="Arial" w:cs="Arial"/>
                <w:color w:val="000000"/>
                <w:sz w:val="18"/>
                <w:szCs w:val="18"/>
                <w:lang w:val="en-AU" w:eastAsia="en-AU"/>
              </w:rPr>
              <w:t>2.  </w:t>
            </w:r>
          </w:p>
        </w:tc>
        <w:tc>
          <w:tcPr>
            <w:tcW w:w="0" w:type="auto"/>
            <w:shd w:val="clear" w:color="auto" w:fill="FFFFFF"/>
            <w:vAlign w:val="center"/>
            <w:hideMark/>
          </w:tcPr>
          <w:p w14:paraId="27CFA916" w14:textId="77777777" w:rsidR="00390832" w:rsidRPr="00390832" w:rsidRDefault="00390832" w:rsidP="00FB2838">
            <w:pPr>
              <w:ind w:left="176"/>
              <w:rPr>
                <w:rFonts w:eastAsia="Times New Roman" w:cstheme="majorHAnsi"/>
                <w:color w:val="000000"/>
                <w:szCs w:val="22"/>
                <w:lang w:val="en-AU" w:eastAsia="en-AU"/>
              </w:rPr>
            </w:pPr>
            <w:r w:rsidRPr="00390832">
              <w:rPr>
                <w:rFonts w:eastAsia="Times New Roman" w:cstheme="majorHAnsi"/>
                <w:color w:val="000000"/>
                <w:szCs w:val="22"/>
                <w:lang w:val="en-AU" w:eastAsia="en-AU"/>
              </w:rPr>
              <w:t>Analyse data, and measurable student learning outcomes, to inform adjustments to pedagogical practices.</w:t>
            </w:r>
          </w:p>
        </w:tc>
      </w:tr>
      <w:tr w:rsidR="00390832" w:rsidRPr="00390832" w14:paraId="3E1908CE" w14:textId="77777777" w:rsidTr="00390832">
        <w:trPr>
          <w:tblCellSpacing w:w="0" w:type="dxa"/>
        </w:trPr>
        <w:tc>
          <w:tcPr>
            <w:tcW w:w="0" w:type="auto"/>
            <w:shd w:val="clear" w:color="auto" w:fill="FFFFFF"/>
            <w:hideMark/>
          </w:tcPr>
          <w:p w14:paraId="7D6769E9" w14:textId="77777777" w:rsidR="00390832" w:rsidRPr="00390832" w:rsidRDefault="00390832" w:rsidP="00390832">
            <w:pPr>
              <w:rPr>
                <w:rFonts w:ascii="Arial" w:eastAsia="Times New Roman" w:hAnsi="Arial" w:cs="Arial"/>
                <w:color w:val="000000"/>
                <w:sz w:val="18"/>
                <w:szCs w:val="18"/>
                <w:lang w:val="en-AU" w:eastAsia="en-AU"/>
              </w:rPr>
            </w:pPr>
            <w:r w:rsidRPr="00390832">
              <w:rPr>
                <w:rFonts w:ascii="Arial" w:eastAsia="Times New Roman" w:hAnsi="Arial" w:cs="Arial"/>
                <w:color w:val="000000"/>
                <w:sz w:val="18"/>
                <w:szCs w:val="18"/>
                <w:lang w:val="en-AU" w:eastAsia="en-AU"/>
              </w:rPr>
              <w:t>3.  </w:t>
            </w:r>
          </w:p>
        </w:tc>
        <w:tc>
          <w:tcPr>
            <w:tcW w:w="0" w:type="auto"/>
            <w:shd w:val="clear" w:color="auto" w:fill="FFFFFF"/>
            <w:vAlign w:val="center"/>
            <w:hideMark/>
          </w:tcPr>
          <w:p w14:paraId="0357104D" w14:textId="77777777" w:rsidR="00390832" w:rsidRPr="00390832" w:rsidRDefault="00390832" w:rsidP="00FB2838">
            <w:pPr>
              <w:ind w:left="176"/>
              <w:rPr>
                <w:rFonts w:eastAsia="Times New Roman" w:cstheme="majorHAnsi"/>
                <w:color w:val="000000"/>
                <w:szCs w:val="22"/>
                <w:lang w:val="en-AU" w:eastAsia="en-AU"/>
              </w:rPr>
            </w:pPr>
            <w:r w:rsidRPr="00390832">
              <w:rPr>
                <w:rFonts w:eastAsia="Times New Roman" w:cstheme="majorHAnsi"/>
                <w:color w:val="000000"/>
                <w:szCs w:val="22"/>
                <w:lang w:val="en-AU" w:eastAsia="en-AU"/>
              </w:rPr>
              <w:t>Review and critique teaching strategies that are contextually appropriate.</w:t>
            </w:r>
          </w:p>
        </w:tc>
      </w:tr>
      <w:tr w:rsidR="00390832" w:rsidRPr="00390832" w14:paraId="4C79EA46" w14:textId="77777777" w:rsidTr="00390832">
        <w:trPr>
          <w:tblCellSpacing w:w="0" w:type="dxa"/>
        </w:trPr>
        <w:tc>
          <w:tcPr>
            <w:tcW w:w="0" w:type="auto"/>
            <w:shd w:val="clear" w:color="auto" w:fill="FFFFFF"/>
            <w:hideMark/>
          </w:tcPr>
          <w:p w14:paraId="61738E77" w14:textId="77777777" w:rsidR="00390832" w:rsidRPr="00390832" w:rsidRDefault="00390832" w:rsidP="00390832">
            <w:pPr>
              <w:rPr>
                <w:rFonts w:ascii="Arial" w:eastAsia="Times New Roman" w:hAnsi="Arial" w:cs="Arial"/>
                <w:color w:val="000000"/>
                <w:sz w:val="18"/>
                <w:szCs w:val="18"/>
                <w:lang w:val="en-AU" w:eastAsia="en-AU"/>
              </w:rPr>
            </w:pPr>
            <w:r w:rsidRPr="00390832">
              <w:rPr>
                <w:rFonts w:ascii="Arial" w:eastAsia="Times New Roman" w:hAnsi="Arial" w:cs="Arial"/>
                <w:color w:val="000000"/>
                <w:sz w:val="18"/>
                <w:szCs w:val="18"/>
                <w:lang w:val="en-AU" w:eastAsia="en-AU"/>
              </w:rPr>
              <w:t>4.  </w:t>
            </w:r>
          </w:p>
        </w:tc>
        <w:tc>
          <w:tcPr>
            <w:tcW w:w="0" w:type="auto"/>
            <w:shd w:val="clear" w:color="auto" w:fill="FFFFFF"/>
            <w:vAlign w:val="center"/>
            <w:hideMark/>
          </w:tcPr>
          <w:p w14:paraId="292D5DF3" w14:textId="77777777" w:rsidR="00390832" w:rsidRPr="00390832" w:rsidRDefault="00390832" w:rsidP="00FB2838">
            <w:pPr>
              <w:ind w:left="176"/>
              <w:rPr>
                <w:rFonts w:eastAsia="Times New Roman" w:cstheme="majorHAnsi"/>
                <w:color w:val="000000"/>
                <w:szCs w:val="22"/>
                <w:lang w:val="en-AU" w:eastAsia="en-AU"/>
              </w:rPr>
            </w:pPr>
            <w:r w:rsidRPr="00390832">
              <w:rPr>
                <w:rFonts w:eastAsia="Times New Roman" w:cstheme="majorHAnsi"/>
                <w:color w:val="000000"/>
                <w:szCs w:val="22"/>
                <w:lang w:val="en-AU" w:eastAsia="en-AU"/>
              </w:rPr>
              <w:t>Plan and execute teaching and learning sequences to meet the contextual learning needs of students.</w:t>
            </w:r>
          </w:p>
        </w:tc>
      </w:tr>
      <w:tr w:rsidR="00390832" w:rsidRPr="00390832" w14:paraId="68EB3EE6" w14:textId="77777777" w:rsidTr="00390832">
        <w:trPr>
          <w:tblCellSpacing w:w="0" w:type="dxa"/>
        </w:trPr>
        <w:tc>
          <w:tcPr>
            <w:tcW w:w="0" w:type="auto"/>
            <w:shd w:val="clear" w:color="auto" w:fill="FFFFFF"/>
            <w:hideMark/>
          </w:tcPr>
          <w:p w14:paraId="7C1D65B4" w14:textId="77777777" w:rsidR="00390832" w:rsidRPr="00390832" w:rsidRDefault="00390832" w:rsidP="00390832">
            <w:pPr>
              <w:rPr>
                <w:rFonts w:ascii="Arial" w:eastAsia="Times New Roman" w:hAnsi="Arial" w:cs="Arial"/>
                <w:color w:val="000000"/>
                <w:sz w:val="18"/>
                <w:szCs w:val="18"/>
                <w:lang w:val="en-AU" w:eastAsia="en-AU"/>
              </w:rPr>
            </w:pPr>
            <w:r w:rsidRPr="00390832">
              <w:rPr>
                <w:rFonts w:ascii="Arial" w:eastAsia="Times New Roman" w:hAnsi="Arial" w:cs="Arial"/>
                <w:color w:val="000000"/>
                <w:sz w:val="18"/>
                <w:szCs w:val="18"/>
                <w:lang w:val="en-AU" w:eastAsia="en-AU"/>
              </w:rPr>
              <w:lastRenderedPageBreak/>
              <w:t>5.  </w:t>
            </w:r>
          </w:p>
        </w:tc>
        <w:tc>
          <w:tcPr>
            <w:tcW w:w="0" w:type="auto"/>
            <w:shd w:val="clear" w:color="auto" w:fill="FFFFFF"/>
            <w:vAlign w:val="center"/>
            <w:hideMark/>
          </w:tcPr>
          <w:p w14:paraId="0ED3A846" w14:textId="77777777" w:rsidR="00390832" w:rsidRPr="00390832" w:rsidRDefault="00390832" w:rsidP="00390832">
            <w:pPr>
              <w:ind w:left="183"/>
              <w:rPr>
                <w:rFonts w:eastAsia="Times New Roman" w:cstheme="majorHAnsi"/>
                <w:color w:val="000000"/>
                <w:szCs w:val="22"/>
                <w:lang w:val="en-AU" w:eastAsia="en-AU"/>
              </w:rPr>
            </w:pPr>
            <w:r w:rsidRPr="00390832">
              <w:rPr>
                <w:rFonts w:eastAsia="Times New Roman" w:cstheme="majorHAnsi"/>
                <w:color w:val="000000"/>
                <w:szCs w:val="22"/>
                <w:lang w:val="en-AU" w:eastAsia="en-AU"/>
              </w:rPr>
              <w:t>Plan and evaluate teaching practices to improve professional knowledge and pedagogic skills.</w:t>
            </w:r>
          </w:p>
        </w:tc>
      </w:tr>
      <w:tr w:rsidR="00390832" w:rsidRPr="00390832" w14:paraId="764BA85A" w14:textId="77777777" w:rsidTr="00390832">
        <w:trPr>
          <w:tblCellSpacing w:w="0" w:type="dxa"/>
        </w:trPr>
        <w:tc>
          <w:tcPr>
            <w:tcW w:w="0" w:type="auto"/>
            <w:shd w:val="clear" w:color="auto" w:fill="FFFFFF"/>
            <w:hideMark/>
          </w:tcPr>
          <w:p w14:paraId="23D8E39C" w14:textId="77777777" w:rsidR="00390832" w:rsidRPr="00390832" w:rsidRDefault="00390832" w:rsidP="00390832">
            <w:pPr>
              <w:rPr>
                <w:rFonts w:ascii="Arial" w:eastAsia="Times New Roman" w:hAnsi="Arial" w:cs="Arial"/>
                <w:color w:val="000000"/>
                <w:sz w:val="18"/>
                <w:szCs w:val="18"/>
                <w:lang w:val="en-AU" w:eastAsia="en-AU"/>
              </w:rPr>
            </w:pPr>
            <w:r w:rsidRPr="00390832">
              <w:rPr>
                <w:rFonts w:ascii="Arial" w:eastAsia="Times New Roman" w:hAnsi="Arial" w:cs="Arial"/>
                <w:color w:val="000000"/>
                <w:sz w:val="18"/>
                <w:szCs w:val="18"/>
                <w:lang w:val="en-AU" w:eastAsia="en-AU"/>
              </w:rPr>
              <w:t>6.  </w:t>
            </w:r>
          </w:p>
        </w:tc>
        <w:tc>
          <w:tcPr>
            <w:tcW w:w="0" w:type="auto"/>
            <w:shd w:val="clear" w:color="auto" w:fill="FFFFFF"/>
            <w:vAlign w:val="center"/>
            <w:hideMark/>
          </w:tcPr>
          <w:p w14:paraId="52A09A48" w14:textId="77777777" w:rsidR="00390832" w:rsidRPr="00390832" w:rsidRDefault="00390832" w:rsidP="00390832">
            <w:pPr>
              <w:ind w:left="183"/>
              <w:rPr>
                <w:rFonts w:eastAsia="Times New Roman" w:cstheme="majorHAnsi"/>
                <w:color w:val="000000"/>
                <w:szCs w:val="22"/>
                <w:lang w:val="en-AU" w:eastAsia="en-AU"/>
              </w:rPr>
            </w:pPr>
            <w:r w:rsidRPr="00390832">
              <w:rPr>
                <w:rFonts w:eastAsia="Times New Roman" w:cstheme="majorHAnsi"/>
                <w:color w:val="000000"/>
                <w:szCs w:val="22"/>
                <w:lang w:val="en-AU" w:eastAsia="en-AU"/>
              </w:rPr>
              <w:t>Plan and execute teaching and learning sequences to meet the differentiated learning and welfare needs of students.</w:t>
            </w:r>
          </w:p>
        </w:tc>
      </w:tr>
      <w:tr w:rsidR="00390832" w:rsidRPr="00390832" w14:paraId="700F0320" w14:textId="77777777" w:rsidTr="00390832">
        <w:trPr>
          <w:tblCellSpacing w:w="0" w:type="dxa"/>
        </w:trPr>
        <w:tc>
          <w:tcPr>
            <w:tcW w:w="0" w:type="auto"/>
            <w:shd w:val="clear" w:color="auto" w:fill="FFFFFF"/>
            <w:hideMark/>
          </w:tcPr>
          <w:p w14:paraId="4F8669A0" w14:textId="77777777" w:rsidR="00390832" w:rsidRPr="00390832" w:rsidRDefault="00390832" w:rsidP="00390832">
            <w:pPr>
              <w:rPr>
                <w:rFonts w:ascii="Arial" w:eastAsia="Times New Roman" w:hAnsi="Arial" w:cs="Arial"/>
                <w:color w:val="000000"/>
                <w:sz w:val="18"/>
                <w:szCs w:val="18"/>
                <w:lang w:val="en-AU" w:eastAsia="en-AU"/>
              </w:rPr>
            </w:pPr>
            <w:r w:rsidRPr="00390832">
              <w:rPr>
                <w:rFonts w:ascii="Arial" w:eastAsia="Times New Roman" w:hAnsi="Arial" w:cs="Arial"/>
                <w:color w:val="000000"/>
                <w:sz w:val="18"/>
                <w:szCs w:val="18"/>
                <w:lang w:val="en-AU" w:eastAsia="en-AU"/>
              </w:rPr>
              <w:t>7.  </w:t>
            </w:r>
          </w:p>
        </w:tc>
        <w:tc>
          <w:tcPr>
            <w:tcW w:w="0" w:type="auto"/>
            <w:shd w:val="clear" w:color="auto" w:fill="FFFFFF"/>
            <w:vAlign w:val="center"/>
            <w:hideMark/>
          </w:tcPr>
          <w:p w14:paraId="728EEC60" w14:textId="77777777" w:rsidR="00390832" w:rsidRPr="00390832" w:rsidRDefault="00390832" w:rsidP="00390832">
            <w:pPr>
              <w:ind w:left="183"/>
              <w:rPr>
                <w:rFonts w:eastAsia="Times New Roman" w:cstheme="majorHAnsi"/>
                <w:color w:val="000000"/>
                <w:szCs w:val="22"/>
                <w:lang w:val="en-AU" w:eastAsia="en-AU"/>
              </w:rPr>
            </w:pPr>
            <w:r w:rsidRPr="00390832">
              <w:rPr>
                <w:rFonts w:eastAsia="Times New Roman" w:cstheme="majorHAnsi"/>
                <w:color w:val="000000"/>
                <w:szCs w:val="22"/>
                <w:lang w:val="en-AU" w:eastAsia="en-AU"/>
              </w:rPr>
              <w:t>Implement a range of teacher duties enacting legal, social and moral responsibilities.</w:t>
            </w:r>
          </w:p>
        </w:tc>
      </w:tr>
    </w:tbl>
    <w:p w14:paraId="4249BA48" w14:textId="39594580" w:rsidR="00390832" w:rsidRPr="00390832" w:rsidRDefault="00390832" w:rsidP="00390832">
      <w:pPr>
        <w:rPr>
          <w:rFonts w:cstheme="majorHAnsi"/>
          <w:szCs w:val="22"/>
        </w:rPr>
      </w:pPr>
    </w:p>
    <w:p w14:paraId="69776E9B" w14:textId="349951CF" w:rsidR="00721792" w:rsidRPr="00390832" w:rsidRDefault="00721792" w:rsidP="00390832">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4042E1E2" w14:textId="7B72A23D" w:rsidR="003B7AF9" w:rsidRPr="00390832" w:rsidRDefault="003B7AF9" w:rsidP="00390832">
      <w:pPr>
        <w:pStyle w:val="body"/>
        <w:spacing w:before="0" w:after="0" w:line="240" w:lineRule="auto"/>
        <w:ind w:left="-709" w:right="-465"/>
        <w:rPr>
          <w:rFonts w:asciiTheme="majorHAnsi" w:eastAsiaTheme="minorHAnsi" w:hAnsiTheme="majorHAnsi" w:cstheme="majorHAnsi"/>
          <w:lang w:val="en-US"/>
        </w:rPr>
      </w:pPr>
      <w:r w:rsidRPr="00390832">
        <w:rPr>
          <w:rFonts w:asciiTheme="majorHAnsi" w:eastAsiaTheme="minorHAnsi" w:hAnsiTheme="majorHAnsi" w:cstheme="majorHAnsi"/>
          <w:lang w:val="en-US"/>
        </w:rPr>
        <w:t xml:space="preserve">On behalf of the </w:t>
      </w:r>
      <w:r w:rsidR="00EE331B" w:rsidRPr="00390832">
        <w:rPr>
          <w:rFonts w:asciiTheme="majorHAnsi" w:eastAsiaTheme="minorHAnsi" w:hAnsiTheme="majorHAnsi" w:cstheme="majorHAnsi"/>
          <w:lang w:val="en-US"/>
        </w:rPr>
        <w:t>Faculty of Arts and Society</w:t>
      </w:r>
      <w:r w:rsidRPr="00390832">
        <w:rPr>
          <w:rFonts w:asciiTheme="majorHAnsi" w:eastAsiaTheme="minorHAnsi" w:hAnsiTheme="majorHAnsi" w:cstheme="majorHAnsi"/>
          <w:lang w:val="en-US"/>
        </w:rPr>
        <w:t xml:space="preserve"> at Charles Darwin University, thank you for agreeing to supervise a pre-service teacher for this professional experience placement</w:t>
      </w:r>
      <w:r w:rsidR="00661DE7">
        <w:rPr>
          <w:rFonts w:asciiTheme="majorHAnsi" w:eastAsiaTheme="minorHAnsi" w:hAnsiTheme="majorHAnsi" w:cstheme="majorHAnsi"/>
          <w:lang w:val="en-US"/>
        </w:rPr>
        <w:t xml:space="preserve">. </w:t>
      </w:r>
      <w:r w:rsidR="008F2DEA" w:rsidRPr="00390832">
        <w:rPr>
          <w:rFonts w:asciiTheme="majorHAnsi" w:eastAsiaTheme="minorHAnsi" w:hAnsiTheme="majorHAnsi" w:cstheme="majorHAnsi"/>
          <w:lang w:val="en-US"/>
        </w:rPr>
        <w:t xml:space="preserve">EPE635 </w:t>
      </w:r>
      <w:r w:rsidR="00003BBB" w:rsidRPr="00390832">
        <w:rPr>
          <w:rFonts w:asciiTheme="majorHAnsi" w:eastAsiaTheme="minorHAnsi" w:hAnsiTheme="majorHAnsi" w:cstheme="majorHAnsi"/>
          <w:lang w:val="en-US"/>
        </w:rPr>
        <w:t xml:space="preserve">is the final placement </w:t>
      </w:r>
      <w:r w:rsidR="008F2DEA" w:rsidRPr="00390832">
        <w:rPr>
          <w:rFonts w:asciiTheme="majorHAnsi" w:eastAsiaTheme="minorHAnsi" w:hAnsiTheme="majorHAnsi" w:cstheme="majorHAnsi"/>
          <w:lang w:val="en-US"/>
        </w:rPr>
        <w:t xml:space="preserve">unit undertaken by students in their course of Initial Teacher Education and </w:t>
      </w:r>
      <w:r w:rsidR="00003BBB" w:rsidRPr="00390832">
        <w:rPr>
          <w:rFonts w:asciiTheme="majorHAnsi" w:eastAsiaTheme="minorHAnsi" w:hAnsiTheme="majorHAnsi" w:cstheme="majorHAnsi"/>
          <w:lang w:val="en-US"/>
        </w:rPr>
        <w:t>in</w:t>
      </w:r>
      <w:r w:rsidR="008F2DEA" w:rsidRPr="00390832">
        <w:rPr>
          <w:rFonts w:asciiTheme="majorHAnsi" w:eastAsiaTheme="minorHAnsi" w:hAnsiTheme="majorHAnsi" w:cstheme="majorHAnsi"/>
          <w:lang w:val="en-US"/>
        </w:rPr>
        <w:t xml:space="preserve">corporates </w:t>
      </w:r>
      <w:r w:rsidR="00003BBB" w:rsidRPr="00390832">
        <w:rPr>
          <w:rFonts w:asciiTheme="majorHAnsi" w:eastAsiaTheme="minorHAnsi" w:hAnsiTheme="majorHAnsi" w:cstheme="majorHAnsi"/>
          <w:lang w:val="en-US"/>
        </w:rPr>
        <w:t>the Assessment for Graduate Teachers</w:t>
      </w:r>
      <w:r w:rsidR="008F2DEA" w:rsidRPr="00390832">
        <w:rPr>
          <w:rFonts w:asciiTheme="majorHAnsi" w:eastAsiaTheme="minorHAnsi" w:hAnsiTheme="majorHAnsi" w:cstheme="majorHAnsi"/>
          <w:lang w:val="en-US"/>
        </w:rPr>
        <w:t xml:space="preserve"> (AfGT).</w:t>
      </w:r>
      <w:r w:rsidR="00661DE7">
        <w:rPr>
          <w:rFonts w:asciiTheme="majorHAnsi" w:eastAsiaTheme="minorHAnsi" w:hAnsiTheme="majorHAnsi" w:cstheme="majorHAnsi"/>
          <w:lang w:val="en-US"/>
        </w:rPr>
        <w:t xml:space="preserve"> </w:t>
      </w:r>
      <w:r w:rsidR="008F2DEA" w:rsidRPr="00390832">
        <w:rPr>
          <w:rFonts w:asciiTheme="majorHAnsi" w:eastAsiaTheme="minorHAnsi" w:hAnsiTheme="majorHAnsi" w:cstheme="majorHAnsi"/>
          <w:lang w:val="en-US"/>
        </w:rPr>
        <w:t>The AfGT is an Australian Government mandated assessment regime that assesses the theoretical perspectives and practice-based capabil</w:t>
      </w:r>
      <w:r w:rsidR="00661DE7">
        <w:rPr>
          <w:rFonts w:asciiTheme="majorHAnsi" w:eastAsiaTheme="minorHAnsi" w:hAnsiTheme="majorHAnsi" w:cstheme="majorHAnsi"/>
          <w:lang w:val="en-US"/>
        </w:rPr>
        <w:t xml:space="preserve">ities of pre-service teachers. </w:t>
      </w:r>
      <w:r w:rsidRPr="00390832">
        <w:rPr>
          <w:rFonts w:asciiTheme="majorHAnsi" w:eastAsiaTheme="minorHAnsi" w:hAnsiTheme="majorHAnsi" w:cstheme="majorHAnsi"/>
          <w:lang w:val="en-US"/>
        </w:rPr>
        <w:t>Th</w:t>
      </w:r>
      <w:r w:rsidR="00BF75DD" w:rsidRPr="00390832">
        <w:rPr>
          <w:rFonts w:asciiTheme="majorHAnsi" w:eastAsiaTheme="minorHAnsi" w:hAnsiTheme="majorHAnsi" w:cstheme="majorHAnsi"/>
          <w:lang w:val="en-US"/>
        </w:rPr>
        <w:t xml:space="preserve">is </w:t>
      </w:r>
      <w:r w:rsidR="008F2DEA" w:rsidRPr="00390832">
        <w:rPr>
          <w:rFonts w:asciiTheme="majorHAnsi" w:eastAsiaTheme="minorHAnsi" w:hAnsiTheme="majorHAnsi" w:cstheme="majorHAnsi"/>
          <w:lang w:val="en-US"/>
        </w:rPr>
        <w:t xml:space="preserve">document outlines the </w:t>
      </w:r>
      <w:r w:rsidRPr="00390832">
        <w:rPr>
          <w:rFonts w:asciiTheme="majorHAnsi" w:eastAsiaTheme="minorHAnsi" w:hAnsiTheme="majorHAnsi" w:cstheme="majorHAnsi"/>
          <w:lang w:val="en-US"/>
        </w:rPr>
        <w:t xml:space="preserve">requirements </w:t>
      </w:r>
      <w:r w:rsidR="008F2DEA" w:rsidRPr="00390832">
        <w:rPr>
          <w:rFonts w:asciiTheme="majorHAnsi" w:eastAsiaTheme="minorHAnsi" w:hAnsiTheme="majorHAnsi" w:cstheme="majorHAnsi"/>
          <w:lang w:val="en-US"/>
        </w:rPr>
        <w:t xml:space="preserve">of </w:t>
      </w:r>
      <w:r w:rsidRPr="00390832">
        <w:rPr>
          <w:rFonts w:asciiTheme="majorHAnsi" w:eastAsiaTheme="minorHAnsi" w:hAnsiTheme="majorHAnsi" w:cstheme="majorHAnsi"/>
          <w:lang w:val="en-US"/>
        </w:rPr>
        <w:t>and guidelines</w:t>
      </w:r>
      <w:r w:rsidR="008F2DEA" w:rsidRPr="00390832">
        <w:rPr>
          <w:rFonts w:asciiTheme="majorHAnsi" w:eastAsiaTheme="minorHAnsi" w:hAnsiTheme="majorHAnsi" w:cstheme="majorHAnsi"/>
          <w:lang w:val="en-US"/>
        </w:rPr>
        <w:t xml:space="preserve"> for </w:t>
      </w:r>
      <w:r w:rsidRPr="00390832">
        <w:rPr>
          <w:rFonts w:asciiTheme="majorHAnsi" w:eastAsiaTheme="minorHAnsi" w:hAnsiTheme="majorHAnsi" w:cstheme="majorHAnsi"/>
          <w:lang w:val="en-US"/>
        </w:rPr>
        <w:t xml:space="preserve">this professional experience placement. </w:t>
      </w:r>
    </w:p>
    <w:p w14:paraId="2414FF0C" w14:textId="77777777" w:rsidR="002303BB" w:rsidRPr="00390832" w:rsidRDefault="002303BB" w:rsidP="00390832">
      <w:pPr>
        <w:pStyle w:val="body"/>
        <w:spacing w:before="0" w:after="0" w:line="240" w:lineRule="auto"/>
        <w:ind w:left="-709" w:right="-465"/>
        <w:rPr>
          <w:rFonts w:asciiTheme="majorHAnsi" w:eastAsiaTheme="minorHAnsi" w:hAnsiTheme="majorHAnsi" w:cstheme="majorHAnsi"/>
          <w:lang w:val="en-US"/>
        </w:rPr>
      </w:pPr>
    </w:p>
    <w:p w14:paraId="1D9CD71B" w14:textId="7E3BD9E0" w:rsidR="003B7AF9" w:rsidRPr="00390832" w:rsidRDefault="003B7AF9" w:rsidP="00390832">
      <w:pPr>
        <w:pStyle w:val="body"/>
        <w:spacing w:before="0" w:after="0" w:line="240" w:lineRule="auto"/>
        <w:ind w:left="-709" w:right="-465"/>
        <w:rPr>
          <w:rFonts w:asciiTheme="majorHAnsi" w:eastAsiaTheme="minorHAnsi" w:hAnsiTheme="majorHAnsi" w:cstheme="majorHAnsi"/>
          <w:lang w:val="en-US"/>
        </w:rPr>
      </w:pPr>
      <w:r w:rsidRPr="00390832">
        <w:rPr>
          <w:rFonts w:asciiTheme="majorHAnsi" w:eastAsiaTheme="minorHAnsi" w:hAnsiTheme="majorHAnsi" w:cstheme="majorHAnsi"/>
          <w:lang w:val="en-US"/>
        </w:rPr>
        <w:t xml:space="preserve">The information contained in this booklet should be read in conjunction with </w:t>
      </w:r>
      <w:r w:rsidR="00003BBB" w:rsidRPr="00390832">
        <w:rPr>
          <w:rFonts w:asciiTheme="majorHAnsi" w:eastAsiaTheme="minorHAnsi" w:hAnsiTheme="majorHAnsi" w:cstheme="majorHAnsi"/>
          <w:lang w:val="en-US"/>
        </w:rPr>
        <w:t xml:space="preserve">the </w:t>
      </w:r>
      <w:r w:rsidR="008F2DEA" w:rsidRPr="00390832">
        <w:rPr>
          <w:rFonts w:asciiTheme="majorHAnsi" w:eastAsiaTheme="minorHAnsi" w:hAnsiTheme="majorHAnsi" w:cstheme="majorHAnsi"/>
          <w:lang w:val="en-US"/>
        </w:rPr>
        <w:t>I</w:t>
      </w:r>
      <w:r w:rsidR="00433804" w:rsidRPr="00390832">
        <w:rPr>
          <w:rFonts w:asciiTheme="majorHAnsi" w:eastAsiaTheme="minorHAnsi" w:hAnsiTheme="majorHAnsi" w:cstheme="majorHAnsi"/>
          <w:lang w:val="en-US"/>
        </w:rPr>
        <w:t xml:space="preserve">nformation </w:t>
      </w:r>
      <w:r w:rsidR="008F2DEA" w:rsidRPr="00390832">
        <w:rPr>
          <w:rFonts w:asciiTheme="majorHAnsi" w:eastAsiaTheme="minorHAnsi" w:hAnsiTheme="majorHAnsi" w:cstheme="majorHAnsi"/>
          <w:lang w:val="en-US"/>
        </w:rPr>
        <w:t>G</w:t>
      </w:r>
      <w:r w:rsidR="00433804" w:rsidRPr="00390832">
        <w:rPr>
          <w:rFonts w:asciiTheme="majorHAnsi" w:eastAsiaTheme="minorHAnsi" w:hAnsiTheme="majorHAnsi" w:cstheme="majorHAnsi"/>
          <w:lang w:val="en-US"/>
        </w:rPr>
        <w:t>uide for</w:t>
      </w:r>
      <w:r w:rsidR="008F2DEA" w:rsidRPr="00390832">
        <w:rPr>
          <w:rFonts w:asciiTheme="majorHAnsi" w:eastAsiaTheme="minorHAnsi" w:hAnsiTheme="majorHAnsi" w:cstheme="majorHAnsi"/>
          <w:lang w:val="en-US"/>
        </w:rPr>
        <w:t xml:space="preserve"> the </w:t>
      </w:r>
      <w:r w:rsidR="00003BBB" w:rsidRPr="00390832">
        <w:rPr>
          <w:rFonts w:asciiTheme="majorHAnsi" w:eastAsiaTheme="minorHAnsi" w:hAnsiTheme="majorHAnsi" w:cstheme="majorHAnsi"/>
          <w:lang w:val="en-US"/>
        </w:rPr>
        <w:t>Assessment for Graduate Teach</w:t>
      </w:r>
      <w:r w:rsidR="00433804" w:rsidRPr="00390832">
        <w:rPr>
          <w:rFonts w:asciiTheme="majorHAnsi" w:eastAsiaTheme="minorHAnsi" w:hAnsiTheme="majorHAnsi" w:cstheme="majorHAnsi"/>
          <w:lang w:val="en-US"/>
        </w:rPr>
        <w:t xml:space="preserve">ing </w:t>
      </w:r>
      <w:r w:rsidR="008F2DEA" w:rsidRPr="00390832">
        <w:rPr>
          <w:rFonts w:asciiTheme="majorHAnsi" w:eastAsiaTheme="minorHAnsi" w:hAnsiTheme="majorHAnsi" w:cstheme="majorHAnsi"/>
          <w:lang w:val="en-US"/>
        </w:rPr>
        <w:t xml:space="preserve">(held by the pre-service teacher) </w:t>
      </w:r>
      <w:r w:rsidR="00433804" w:rsidRPr="00390832">
        <w:rPr>
          <w:rFonts w:asciiTheme="majorHAnsi" w:eastAsiaTheme="minorHAnsi" w:hAnsiTheme="majorHAnsi" w:cstheme="majorHAnsi"/>
          <w:lang w:val="en-US"/>
        </w:rPr>
        <w:t xml:space="preserve">and </w:t>
      </w:r>
      <w:r w:rsidRPr="00390832">
        <w:rPr>
          <w:rFonts w:asciiTheme="majorHAnsi" w:eastAsiaTheme="minorHAnsi" w:hAnsiTheme="majorHAnsi" w:cstheme="majorHAnsi"/>
          <w:lang w:val="en-US"/>
        </w:rPr>
        <w:t>details outlined on the InSchool placement website available at:</w:t>
      </w:r>
      <w:r w:rsidR="00390832">
        <w:rPr>
          <w:rFonts w:asciiTheme="majorHAnsi" w:eastAsiaTheme="minorHAnsi" w:hAnsiTheme="majorHAnsi" w:cstheme="majorHAnsi"/>
          <w:lang w:val="en-US"/>
        </w:rPr>
        <w:t xml:space="preserve"> </w:t>
      </w:r>
      <w:hyperlink r:id="rId11" w:history="1">
        <w:r w:rsidR="00390832" w:rsidRPr="00390832">
          <w:rPr>
            <w:rStyle w:val="Hyperlink"/>
            <w:rFonts w:eastAsiaTheme="minorHAnsi" w:cstheme="majorHAnsi"/>
            <w:sz w:val="22"/>
            <w:lang w:val="en-US"/>
          </w:rPr>
          <w:t>https://www.cdu.edu.au/arts-society/education/inschool-education-placements</w:t>
        </w:r>
        <w:r w:rsidR="00EE2D92" w:rsidRPr="00390832">
          <w:rPr>
            <w:rStyle w:val="Hyperlink"/>
            <w:rFonts w:eastAsiaTheme="minorHAnsi" w:cstheme="majorHAnsi"/>
            <w:sz w:val="22"/>
            <w:lang w:val="en-US"/>
          </w:rPr>
          <w:t>.</w:t>
        </w:r>
      </w:hyperlink>
      <w:r w:rsidR="00EE2D92" w:rsidRPr="00390832">
        <w:rPr>
          <w:rFonts w:asciiTheme="majorHAnsi" w:eastAsiaTheme="minorHAnsi" w:hAnsiTheme="majorHAnsi" w:cstheme="majorHAnsi"/>
          <w:lang w:val="en-US"/>
        </w:rPr>
        <w:t xml:space="preserve"> </w:t>
      </w:r>
      <w:r w:rsidRPr="00390832">
        <w:rPr>
          <w:rFonts w:asciiTheme="majorHAnsi" w:eastAsiaTheme="minorHAnsi" w:hAnsiTheme="majorHAnsi" w:cstheme="majorHAnsi"/>
          <w:lang w:val="en-US"/>
        </w:rPr>
        <w:t>The website provides more in-depth information regarding protocols governing professional experience, including interim and final reports and mentor teacher payment information. Specific attention should be given to the guidelines and procedures for supporting pre-service teachers regarding ‘</w:t>
      </w:r>
      <w:r w:rsidR="008F2DEA" w:rsidRPr="00390832">
        <w:rPr>
          <w:rFonts w:asciiTheme="majorHAnsi" w:eastAsiaTheme="minorHAnsi" w:hAnsiTheme="majorHAnsi" w:cstheme="majorHAnsi"/>
          <w:lang w:val="en-US"/>
        </w:rPr>
        <w:t>c</w:t>
      </w:r>
      <w:r w:rsidRPr="00390832">
        <w:rPr>
          <w:rFonts w:asciiTheme="majorHAnsi" w:eastAsiaTheme="minorHAnsi" w:hAnsiTheme="majorHAnsi" w:cstheme="majorHAnsi"/>
          <w:lang w:val="en-US"/>
        </w:rPr>
        <w:t xml:space="preserve">oncerns during placement’.  </w:t>
      </w:r>
    </w:p>
    <w:p w14:paraId="31627FDB" w14:textId="77777777" w:rsidR="002303BB" w:rsidRPr="00390832" w:rsidRDefault="002303BB" w:rsidP="00390832">
      <w:pPr>
        <w:pStyle w:val="body"/>
        <w:spacing w:before="0" w:after="0" w:line="240" w:lineRule="auto"/>
        <w:ind w:left="-709" w:right="-465"/>
        <w:rPr>
          <w:rFonts w:asciiTheme="majorHAnsi" w:eastAsiaTheme="minorHAnsi" w:hAnsiTheme="majorHAnsi" w:cstheme="majorHAnsi"/>
          <w:lang w:val="en-US"/>
        </w:rPr>
      </w:pPr>
    </w:p>
    <w:p w14:paraId="619D6639" w14:textId="7EF741C2" w:rsidR="003B7AF9" w:rsidRPr="00390832" w:rsidRDefault="004116D7" w:rsidP="00390832">
      <w:pPr>
        <w:pStyle w:val="body"/>
        <w:spacing w:before="0" w:after="0" w:line="240" w:lineRule="auto"/>
        <w:ind w:left="-709" w:right="-465"/>
        <w:rPr>
          <w:rFonts w:asciiTheme="majorHAnsi" w:eastAsiaTheme="minorHAnsi" w:hAnsiTheme="majorHAnsi" w:cstheme="majorHAnsi"/>
          <w:lang w:val="en-US"/>
        </w:rPr>
      </w:pPr>
      <w:r w:rsidRPr="00390832">
        <w:rPr>
          <w:rFonts w:asciiTheme="majorHAnsi" w:eastAsiaTheme="minorHAnsi" w:hAnsiTheme="majorHAnsi" w:cstheme="majorHAnsi"/>
          <w:lang w:val="en-US"/>
        </w:rPr>
        <w:t>Prior to being placed</w:t>
      </w:r>
      <w:r w:rsidR="00433804" w:rsidRPr="00390832">
        <w:rPr>
          <w:rFonts w:asciiTheme="majorHAnsi" w:eastAsiaTheme="minorHAnsi" w:hAnsiTheme="majorHAnsi" w:cstheme="majorHAnsi"/>
          <w:lang w:val="en-US"/>
        </w:rPr>
        <w:t xml:space="preserve"> in a school</w:t>
      </w:r>
      <w:r w:rsidRPr="00390832">
        <w:rPr>
          <w:rFonts w:asciiTheme="majorHAnsi" w:eastAsiaTheme="minorHAnsi" w:hAnsiTheme="majorHAnsi" w:cstheme="majorHAnsi"/>
          <w:lang w:val="en-US"/>
        </w:rPr>
        <w:t>, a</w:t>
      </w:r>
      <w:r w:rsidR="003B7AF9" w:rsidRPr="00390832">
        <w:rPr>
          <w:rFonts w:asciiTheme="majorHAnsi" w:eastAsiaTheme="minorHAnsi" w:hAnsiTheme="majorHAnsi" w:cstheme="majorHAnsi"/>
          <w:lang w:val="en-US"/>
        </w:rPr>
        <w:t xml:space="preserve">ll pre-service teachers enrolled in this unit must </w:t>
      </w:r>
      <w:r w:rsidR="00213FCF" w:rsidRPr="00390832">
        <w:rPr>
          <w:rFonts w:asciiTheme="majorHAnsi" w:eastAsiaTheme="minorHAnsi" w:hAnsiTheme="majorHAnsi" w:cstheme="majorHAnsi"/>
          <w:lang w:val="en-US"/>
        </w:rPr>
        <w:t>provide</w:t>
      </w:r>
      <w:r w:rsidR="003B7AF9" w:rsidRPr="00390832">
        <w:rPr>
          <w:rFonts w:asciiTheme="majorHAnsi" w:eastAsiaTheme="minorHAnsi" w:hAnsiTheme="majorHAnsi" w:cstheme="majorHAnsi"/>
          <w:lang w:val="en-US"/>
        </w:rPr>
        <w:t xml:space="preserve"> a current </w:t>
      </w:r>
      <w:r w:rsidR="00213FCF" w:rsidRPr="00390832">
        <w:rPr>
          <w:rFonts w:asciiTheme="majorHAnsi" w:eastAsiaTheme="minorHAnsi" w:hAnsiTheme="majorHAnsi" w:cstheme="majorHAnsi"/>
          <w:lang w:val="en-US"/>
        </w:rPr>
        <w:t xml:space="preserve">security clearance for working with children as required in the state or territory where they are undertaking their placement.   </w:t>
      </w:r>
    </w:p>
    <w:p w14:paraId="4AB5460C" w14:textId="77777777" w:rsidR="00390832" w:rsidRDefault="00390832" w:rsidP="00390832">
      <w:pPr>
        <w:spacing w:before="60" w:after="60"/>
        <w:ind w:left="-709"/>
        <w:rPr>
          <w:rStyle w:val="Heading2Char"/>
        </w:rPr>
      </w:pPr>
    </w:p>
    <w:p w14:paraId="7F27671D" w14:textId="0D427CAA" w:rsidR="003036EA" w:rsidRPr="00390832" w:rsidRDefault="003036EA" w:rsidP="00390832">
      <w:pPr>
        <w:spacing w:before="60" w:after="60"/>
        <w:ind w:left="-709"/>
        <w:rPr>
          <w:rStyle w:val="Heading2Char"/>
        </w:rPr>
      </w:pPr>
      <w:r w:rsidRPr="00390832">
        <w:rPr>
          <w:rStyle w:val="Heading2Char"/>
        </w:rPr>
        <w:t>CDU Contacts</w:t>
      </w:r>
    </w:p>
    <w:p w14:paraId="25ABCDEE" w14:textId="4A576C8A" w:rsidR="003036EA" w:rsidRPr="00390832" w:rsidRDefault="003036EA" w:rsidP="00390832">
      <w:pPr>
        <w:pStyle w:val="body"/>
        <w:spacing w:before="0" w:after="0" w:line="240" w:lineRule="auto"/>
        <w:ind w:left="-709"/>
        <w:rPr>
          <w:rFonts w:asciiTheme="majorHAnsi" w:eastAsiaTheme="minorHAnsi" w:hAnsiTheme="majorHAnsi" w:cstheme="majorHAnsi"/>
          <w:lang w:val="en-US"/>
        </w:rPr>
      </w:pPr>
      <w:r w:rsidRPr="00390832">
        <w:rPr>
          <w:rFonts w:asciiTheme="majorHAnsi" w:eastAsiaTheme="minorHAnsi" w:hAnsiTheme="majorHAnsi" w:cstheme="majorHAnsi"/>
          <w:b/>
          <w:bCs/>
          <w:lang w:val="en-US"/>
        </w:rPr>
        <w:t>Before placement:</w:t>
      </w:r>
      <w:r w:rsidRPr="00390832">
        <w:rPr>
          <w:rFonts w:asciiTheme="majorHAnsi" w:eastAsiaTheme="minorHAnsi" w:hAnsiTheme="majorHAnsi" w:cstheme="majorHAnsi"/>
          <w:lang w:val="en-US"/>
        </w:rPr>
        <w:t xml:space="preserve"> The Work Integrated Learning Team sources all education placements and manages mentor teacher payments. For all placement inquiries please email </w:t>
      </w:r>
      <w:hyperlink r:id="rId12" w:history="1">
        <w:r w:rsidR="00721548" w:rsidRPr="00390832">
          <w:rPr>
            <w:rStyle w:val="Hyperlink"/>
            <w:rFonts w:eastAsiaTheme="minorHAnsi" w:cstheme="majorHAnsi"/>
            <w:sz w:val="22"/>
            <w:lang w:val="en-US"/>
          </w:rPr>
          <w:t>inschool@cdu.edu.au</w:t>
        </w:r>
      </w:hyperlink>
      <w:r w:rsidR="00721548" w:rsidRPr="00390832">
        <w:rPr>
          <w:rFonts w:asciiTheme="majorHAnsi" w:eastAsiaTheme="minorHAnsi" w:hAnsiTheme="majorHAnsi" w:cstheme="majorHAnsi"/>
          <w:lang w:val="en-US"/>
        </w:rPr>
        <w:t xml:space="preserve"> </w:t>
      </w:r>
      <w:r w:rsidRPr="00390832">
        <w:rPr>
          <w:rFonts w:asciiTheme="majorHAnsi" w:eastAsiaTheme="minorHAnsi" w:hAnsiTheme="majorHAnsi" w:cstheme="majorHAnsi"/>
          <w:lang w:val="en-US"/>
        </w:rPr>
        <w:t xml:space="preserve">or phone </w:t>
      </w:r>
      <w:r w:rsidR="00EE331B" w:rsidRPr="00390832">
        <w:rPr>
          <w:rFonts w:asciiTheme="majorHAnsi" w:eastAsiaTheme="minorHAnsi" w:hAnsiTheme="majorHAnsi" w:cstheme="majorHAnsi"/>
          <w:lang w:val="en-US"/>
        </w:rPr>
        <w:t xml:space="preserve">       </w:t>
      </w:r>
      <w:r w:rsidRPr="00390832">
        <w:rPr>
          <w:rFonts w:asciiTheme="majorHAnsi" w:eastAsiaTheme="minorHAnsi" w:hAnsiTheme="majorHAnsi" w:cstheme="majorHAnsi"/>
          <w:lang w:val="en-US"/>
        </w:rPr>
        <w:t>08 894646 6602.</w:t>
      </w:r>
    </w:p>
    <w:p w14:paraId="546E4FA7" w14:textId="77777777" w:rsidR="00982350" w:rsidRPr="00390832" w:rsidRDefault="00982350" w:rsidP="00390832">
      <w:pPr>
        <w:pStyle w:val="body"/>
        <w:spacing w:before="0" w:after="0" w:line="240" w:lineRule="auto"/>
        <w:ind w:left="-709"/>
        <w:rPr>
          <w:rFonts w:asciiTheme="majorHAnsi" w:eastAsiaTheme="minorHAnsi" w:hAnsiTheme="majorHAnsi" w:cstheme="majorHAnsi"/>
          <w:lang w:val="en-US"/>
        </w:rPr>
      </w:pPr>
    </w:p>
    <w:p w14:paraId="6DC023B9" w14:textId="534CE080" w:rsidR="003036EA" w:rsidRPr="00390832" w:rsidRDefault="003036EA" w:rsidP="00390832">
      <w:pPr>
        <w:pStyle w:val="body"/>
        <w:spacing w:before="0" w:after="0" w:line="240" w:lineRule="auto"/>
        <w:ind w:left="-709"/>
        <w:rPr>
          <w:rFonts w:asciiTheme="majorHAnsi" w:eastAsiaTheme="minorHAnsi" w:hAnsiTheme="majorHAnsi" w:cstheme="majorHAnsi"/>
          <w:lang w:val="en-US"/>
        </w:rPr>
      </w:pPr>
      <w:r w:rsidRPr="00390832">
        <w:rPr>
          <w:rFonts w:asciiTheme="majorHAnsi" w:eastAsiaTheme="minorHAnsi" w:hAnsiTheme="majorHAnsi" w:cstheme="majorHAnsi"/>
          <w:b/>
          <w:bCs/>
          <w:lang w:val="en-US"/>
        </w:rPr>
        <w:t>During and after placement</w:t>
      </w:r>
      <w:r w:rsidRPr="00390832">
        <w:rPr>
          <w:rFonts w:asciiTheme="majorHAnsi" w:eastAsiaTheme="minorHAnsi" w:hAnsiTheme="majorHAnsi" w:cstheme="majorHAnsi"/>
          <w:lang w:val="en-US"/>
        </w:rPr>
        <w:t xml:space="preserve">: the </w:t>
      </w:r>
      <w:r w:rsidR="004116D7" w:rsidRPr="00390832">
        <w:rPr>
          <w:rFonts w:asciiTheme="majorHAnsi" w:eastAsiaTheme="minorHAnsi" w:hAnsiTheme="majorHAnsi" w:cstheme="majorHAnsi"/>
          <w:b/>
          <w:bCs/>
          <w:lang w:val="en-US"/>
        </w:rPr>
        <w:t>unit coordinator</w:t>
      </w:r>
      <w:r w:rsidRPr="00390832">
        <w:rPr>
          <w:rFonts w:asciiTheme="majorHAnsi" w:eastAsiaTheme="minorHAnsi" w:hAnsiTheme="majorHAnsi" w:cstheme="majorHAnsi"/>
          <w:lang w:val="en-US"/>
        </w:rPr>
        <w:t xml:space="preserve"> can offer additional support to PSTs and mentor teachers during placement if needed.</w:t>
      </w:r>
      <w:r w:rsidR="00EE331B" w:rsidRPr="00390832">
        <w:rPr>
          <w:rFonts w:asciiTheme="majorHAnsi" w:eastAsiaTheme="minorHAnsi" w:hAnsiTheme="majorHAnsi" w:cstheme="majorHAnsi"/>
          <w:lang w:val="en-US"/>
        </w:rPr>
        <w:t xml:space="preserve"> The pre-service teacher can provide these details. </w:t>
      </w:r>
    </w:p>
    <w:p w14:paraId="365F8602" w14:textId="77777777" w:rsidR="003B7AF9" w:rsidRPr="00390832" w:rsidRDefault="003B7AF9" w:rsidP="00390832">
      <w:pPr>
        <w:pStyle w:val="Heading1"/>
        <w:ind w:left="-709"/>
        <w:rPr>
          <w:rFonts w:asciiTheme="majorHAnsi" w:hAnsiTheme="majorHAnsi" w:cstheme="majorHAnsi"/>
          <w:bCs/>
          <w:sz w:val="22"/>
          <w:szCs w:val="22"/>
        </w:rPr>
      </w:pPr>
      <w:r w:rsidRPr="00390832">
        <w:rPr>
          <w:rFonts w:asciiTheme="majorHAnsi" w:hAnsiTheme="majorHAnsi" w:cstheme="majorHAnsi"/>
          <w:sz w:val="22"/>
          <w:szCs w:val="22"/>
        </w:rPr>
        <w:t>Professional Experience Requirements</w:t>
      </w:r>
    </w:p>
    <w:p w14:paraId="09A4BDCB" w14:textId="1C85CE08" w:rsidR="003B7AF9" w:rsidRPr="00390832" w:rsidRDefault="004116D7" w:rsidP="00390832">
      <w:pPr>
        <w:pStyle w:val="Title"/>
        <w:ind w:left="-709"/>
        <w:rPr>
          <w:rFonts w:asciiTheme="majorHAnsi" w:eastAsiaTheme="minorHAnsi" w:hAnsiTheme="majorHAnsi" w:cstheme="majorHAnsi"/>
        </w:rPr>
      </w:pPr>
      <w:r w:rsidRPr="00390832">
        <w:rPr>
          <w:rFonts w:asciiTheme="majorHAnsi" w:eastAsiaTheme="minorHAnsi" w:hAnsiTheme="majorHAnsi" w:cstheme="majorHAnsi"/>
        </w:rPr>
        <w:t xml:space="preserve">Pre-service teachers enrolled in </w:t>
      </w:r>
      <w:r w:rsidR="00433804" w:rsidRPr="00390832">
        <w:rPr>
          <w:rFonts w:asciiTheme="majorHAnsi" w:eastAsiaTheme="minorHAnsi" w:hAnsiTheme="majorHAnsi" w:cstheme="majorHAnsi"/>
        </w:rPr>
        <w:t>a</w:t>
      </w:r>
      <w:r w:rsidRPr="00390832">
        <w:rPr>
          <w:rFonts w:asciiTheme="majorHAnsi" w:eastAsiaTheme="minorHAnsi" w:hAnsiTheme="majorHAnsi" w:cstheme="majorHAnsi"/>
        </w:rPr>
        <w:t xml:space="preserve"> Master of Teaching </w:t>
      </w:r>
      <w:r w:rsidR="00433804" w:rsidRPr="00390832">
        <w:rPr>
          <w:rFonts w:asciiTheme="majorHAnsi" w:eastAsiaTheme="minorHAnsi" w:hAnsiTheme="majorHAnsi" w:cstheme="majorHAnsi"/>
        </w:rPr>
        <w:t xml:space="preserve">award </w:t>
      </w:r>
      <w:r w:rsidRPr="00390832">
        <w:rPr>
          <w:rFonts w:asciiTheme="majorHAnsi" w:eastAsiaTheme="minorHAnsi" w:hAnsiTheme="majorHAnsi" w:cstheme="majorHAnsi"/>
        </w:rPr>
        <w:t>have an undergraduate degree in a discipline or disciplines</w:t>
      </w:r>
      <w:r w:rsidR="00433804" w:rsidRPr="00390832">
        <w:rPr>
          <w:rFonts w:asciiTheme="majorHAnsi" w:eastAsiaTheme="minorHAnsi" w:hAnsiTheme="majorHAnsi" w:cstheme="majorHAnsi"/>
        </w:rPr>
        <w:t xml:space="preserve"> relevant to the school curriculum</w:t>
      </w:r>
      <w:r w:rsidRPr="00390832">
        <w:rPr>
          <w:rFonts w:asciiTheme="majorHAnsi" w:eastAsiaTheme="minorHAnsi" w:hAnsiTheme="majorHAnsi" w:cstheme="majorHAnsi"/>
        </w:rPr>
        <w:t xml:space="preserve">. </w:t>
      </w:r>
      <w:r w:rsidR="00402EF6" w:rsidRPr="00390832">
        <w:rPr>
          <w:rFonts w:asciiTheme="majorHAnsi" w:hAnsiTheme="majorHAnsi" w:cstheme="majorHAnsi"/>
        </w:rPr>
        <w:t xml:space="preserve">EPE635 Professional Experience: Assessment for Graduate Teachers </w:t>
      </w:r>
      <w:r w:rsidR="003B7AF9" w:rsidRPr="00390832">
        <w:rPr>
          <w:rFonts w:asciiTheme="majorHAnsi" w:eastAsiaTheme="minorHAnsi" w:hAnsiTheme="majorHAnsi" w:cstheme="majorHAnsi"/>
        </w:rPr>
        <w:t xml:space="preserve">is a </w:t>
      </w:r>
      <w:r w:rsidR="003B7AF9" w:rsidRPr="00390832">
        <w:rPr>
          <w:rFonts w:asciiTheme="majorHAnsi" w:eastAsiaTheme="minorHAnsi" w:hAnsiTheme="majorHAnsi" w:cstheme="majorHAnsi"/>
          <w:b/>
        </w:rPr>
        <w:t>30-day professional experience</w:t>
      </w:r>
      <w:r w:rsidRPr="00390832">
        <w:rPr>
          <w:rFonts w:asciiTheme="majorHAnsi" w:eastAsiaTheme="minorHAnsi" w:hAnsiTheme="majorHAnsi" w:cstheme="majorHAnsi"/>
          <w:b/>
        </w:rPr>
        <w:t xml:space="preserve"> placement</w:t>
      </w:r>
      <w:r w:rsidR="00402EF6" w:rsidRPr="00390832">
        <w:rPr>
          <w:rFonts w:asciiTheme="majorHAnsi" w:eastAsiaTheme="minorHAnsi" w:hAnsiTheme="majorHAnsi" w:cstheme="majorHAnsi"/>
        </w:rPr>
        <w:t xml:space="preserve"> and is the second placement for </w:t>
      </w:r>
      <w:r w:rsidR="00710AF9" w:rsidRPr="00390832">
        <w:rPr>
          <w:rFonts w:asciiTheme="majorHAnsi" w:eastAsiaTheme="minorHAnsi" w:hAnsiTheme="majorHAnsi" w:cstheme="majorHAnsi"/>
        </w:rPr>
        <w:t>those in the Master of Teaching Secondary or the Master of Teaching Primary</w:t>
      </w:r>
      <w:r w:rsidR="00433804" w:rsidRPr="00390832">
        <w:rPr>
          <w:rFonts w:asciiTheme="majorHAnsi" w:eastAsiaTheme="minorHAnsi" w:hAnsiTheme="majorHAnsi" w:cstheme="majorHAnsi"/>
        </w:rPr>
        <w:t>,</w:t>
      </w:r>
      <w:r w:rsidR="00710AF9" w:rsidRPr="00390832">
        <w:rPr>
          <w:rFonts w:asciiTheme="majorHAnsi" w:eastAsiaTheme="minorHAnsi" w:hAnsiTheme="majorHAnsi" w:cstheme="majorHAnsi"/>
        </w:rPr>
        <w:t xml:space="preserve"> and the third placement for those in the Master of Early Childhood</w:t>
      </w:r>
      <w:r w:rsidR="003B7AF9" w:rsidRPr="00390832">
        <w:rPr>
          <w:rFonts w:asciiTheme="majorHAnsi" w:eastAsiaTheme="minorHAnsi" w:hAnsiTheme="majorHAnsi" w:cstheme="majorHAnsi"/>
        </w:rPr>
        <w:t xml:space="preserve">. </w:t>
      </w:r>
    </w:p>
    <w:p w14:paraId="543DD5B5" w14:textId="77777777" w:rsidR="002303BB" w:rsidRPr="00DB1541" w:rsidRDefault="002303BB" w:rsidP="002303BB">
      <w:pPr>
        <w:pStyle w:val="Subhead"/>
        <w:spacing w:after="0"/>
        <w:rPr>
          <w:rFonts w:asciiTheme="minorHAnsi" w:hAnsiTheme="minorHAnsi" w:cstheme="minorHAnsi"/>
          <w:sz w:val="24"/>
          <w:szCs w:val="24"/>
          <w:lang w:val="en-US"/>
        </w:rPr>
      </w:pPr>
    </w:p>
    <w:p w14:paraId="3076DDC3" w14:textId="46916B59" w:rsidR="00586DAC" w:rsidRPr="00390832" w:rsidRDefault="008F2DEA" w:rsidP="00390832">
      <w:pPr>
        <w:ind w:left="-709"/>
        <w:rPr>
          <w:rFonts w:cstheme="majorHAnsi"/>
          <w:szCs w:val="22"/>
        </w:rPr>
      </w:pPr>
      <w:r w:rsidRPr="00390832">
        <w:rPr>
          <w:rFonts w:cstheme="majorHAnsi"/>
          <w:color w:val="000000"/>
          <w:szCs w:val="22"/>
          <w:shd w:val="clear" w:color="auto" w:fill="FFFFFF"/>
        </w:rPr>
        <w:t xml:space="preserve">The 30-day professional experience placement is informed by </w:t>
      </w:r>
      <w:r w:rsidR="00710AF9" w:rsidRPr="00390832">
        <w:rPr>
          <w:rFonts w:cstheme="majorHAnsi"/>
          <w:color w:val="000000"/>
          <w:szCs w:val="22"/>
          <w:shd w:val="clear" w:color="auto" w:fill="FFFFFF"/>
        </w:rPr>
        <w:t xml:space="preserve">the </w:t>
      </w:r>
      <w:r w:rsidR="00710AF9" w:rsidRPr="00390832">
        <w:rPr>
          <w:rFonts w:cstheme="majorHAnsi"/>
          <w:i/>
          <w:iCs/>
          <w:color w:val="000000"/>
          <w:szCs w:val="22"/>
          <w:shd w:val="clear" w:color="auto" w:fill="FFFFFF"/>
        </w:rPr>
        <w:t>A</w:t>
      </w:r>
      <w:r w:rsidR="00916B19" w:rsidRPr="00390832">
        <w:rPr>
          <w:rFonts w:cstheme="majorHAnsi"/>
          <w:i/>
          <w:iCs/>
          <w:color w:val="000000"/>
          <w:szCs w:val="22"/>
          <w:shd w:val="clear" w:color="auto" w:fill="FFFFFF"/>
        </w:rPr>
        <w:t xml:space="preserve">fGT </w:t>
      </w:r>
      <w:r w:rsidR="00710AF9" w:rsidRPr="00390832">
        <w:rPr>
          <w:rFonts w:cstheme="majorHAnsi"/>
          <w:color w:val="000000"/>
          <w:szCs w:val="22"/>
          <w:shd w:val="clear" w:color="auto" w:fill="FFFFFF"/>
        </w:rPr>
        <w:t xml:space="preserve">which </w:t>
      </w:r>
      <w:r w:rsidRPr="00390832">
        <w:rPr>
          <w:rFonts w:cstheme="majorHAnsi"/>
          <w:color w:val="000000"/>
          <w:szCs w:val="22"/>
          <w:shd w:val="clear" w:color="auto" w:fill="FFFFFF"/>
        </w:rPr>
        <w:t xml:space="preserve">assesses </w:t>
      </w:r>
      <w:r w:rsidR="00916B19" w:rsidRPr="00390832">
        <w:rPr>
          <w:rFonts w:cstheme="majorHAnsi"/>
          <w:color w:val="000000"/>
          <w:szCs w:val="22"/>
          <w:shd w:val="clear" w:color="auto" w:fill="FFFFFF"/>
        </w:rPr>
        <w:t xml:space="preserve">the majority of the seven </w:t>
      </w:r>
      <w:r w:rsidR="00710AF9" w:rsidRPr="00390832">
        <w:rPr>
          <w:rFonts w:cstheme="majorHAnsi"/>
          <w:color w:val="000000"/>
          <w:szCs w:val="22"/>
          <w:shd w:val="clear" w:color="auto" w:fill="FFFFFF"/>
        </w:rPr>
        <w:t>Graduate Teacher Standards</w:t>
      </w:r>
      <w:r w:rsidR="00661DE7">
        <w:rPr>
          <w:rFonts w:cstheme="majorHAnsi"/>
          <w:color w:val="000000"/>
          <w:szCs w:val="22"/>
          <w:shd w:val="clear" w:color="auto" w:fill="FFFFFF"/>
        </w:rPr>
        <w:t xml:space="preserve"> whilst on placement.</w:t>
      </w:r>
      <w:r w:rsidR="00916B19" w:rsidRPr="00390832">
        <w:rPr>
          <w:rFonts w:cstheme="majorHAnsi"/>
          <w:color w:val="000000"/>
          <w:szCs w:val="22"/>
          <w:shd w:val="clear" w:color="auto" w:fill="FFFFFF"/>
        </w:rPr>
        <w:t xml:space="preserve"> Element 4 of the AfGT is completed separately from the placement ensuring that all Graduate Standards are assessed.</w:t>
      </w:r>
      <w:r w:rsidR="00661DE7">
        <w:rPr>
          <w:rFonts w:cstheme="majorHAnsi"/>
          <w:color w:val="000000"/>
          <w:szCs w:val="22"/>
          <w:shd w:val="clear" w:color="auto" w:fill="FFFFFF"/>
        </w:rPr>
        <w:t xml:space="preserve"> </w:t>
      </w:r>
      <w:r w:rsidR="00916B19" w:rsidRPr="00390832">
        <w:rPr>
          <w:rFonts w:cstheme="majorHAnsi"/>
          <w:color w:val="000000"/>
          <w:szCs w:val="22"/>
          <w:shd w:val="clear" w:color="auto" w:fill="FFFFFF"/>
        </w:rPr>
        <w:t xml:space="preserve">The AfGT is a significant </w:t>
      </w:r>
      <w:r w:rsidR="00710AF9" w:rsidRPr="00390832">
        <w:rPr>
          <w:rFonts w:cstheme="majorHAnsi"/>
          <w:color w:val="000000"/>
          <w:szCs w:val="22"/>
          <w:shd w:val="clear" w:color="auto" w:fill="FFFFFF"/>
        </w:rPr>
        <w:t>accreditation requirement for course completion</w:t>
      </w:r>
      <w:r w:rsidR="00916B19" w:rsidRPr="00390832">
        <w:rPr>
          <w:rFonts w:cstheme="majorHAnsi"/>
          <w:color w:val="000000"/>
          <w:szCs w:val="22"/>
          <w:shd w:val="clear" w:color="auto" w:fill="FFFFFF"/>
        </w:rPr>
        <w:t xml:space="preserve"> and is assessed by the university.</w:t>
      </w:r>
    </w:p>
    <w:p w14:paraId="2977690D" w14:textId="77777777" w:rsidR="002303BB" w:rsidRPr="00390832" w:rsidRDefault="002303BB" w:rsidP="002303BB">
      <w:pPr>
        <w:pStyle w:val="body"/>
        <w:spacing w:before="0" w:after="0" w:line="240" w:lineRule="auto"/>
        <w:rPr>
          <w:rFonts w:asciiTheme="majorHAnsi" w:eastAsiaTheme="minorHAnsi" w:hAnsiTheme="majorHAnsi" w:cstheme="majorHAnsi"/>
          <w:lang w:val="en-US"/>
        </w:rPr>
      </w:pPr>
    </w:p>
    <w:p w14:paraId="12BFC0F7" w14:textId="49CB5DE9" w:rsidR="003B7AF9" w:rsidRPr="00FB2838" w:rsidRDefault="003B7AF9" w:rsidP="00FB2838">
      <w:pPr>
        <w:ind w:left="-709"/>
        <w:rPr>
          <w:rFonts w:cstheme="majorHAnsi"/>
          <w:color w:val="000000"/>
          <w:szCs w:val="22"/>
          <w:shd w:val="clear" w:color="auto" w:fill="FFFFFF"/>
        </w:rPr>
      </w:pPr>
      <w:r w:rsidRPr="00FB2838">
        <w:rPr>
          <w:rFonts w:cstheme="majorHAnsi"/>
          <w:color w:val="000000"/>
          <w:szCs w:val="22"/>
          <w:shd w:val="clear" w:color="auto" w:fill="FFFFFF"/>
        </w:rPr>
        <w:t xml:space="preserve">Pre-service teachers are supervised by registered teachers at all times during school hours. It is expected that pre-service teachers work </w:t>
      </w:r>
      <w:r w:rsidR="00916B19" w:rsidRPr="00FB2838">
        <w:rPr>
          <w:rFonts w:cstheme="majorHAnsi"/>
          <w:color w:val="000000"/>
          <w:szCs w:val="22"/>
          <w:shd w:val="clear" w:color="auto" w:fill="FFFFFF"/>
        </w:rPr>
        <w:t xml:space="preserve">collaboratively with </w:t>
      </w:r>
      <w:r w:rsidRPr="00FB2838">
        <w:rPr>
          <w:rFonts w:cstheme="majorHAnsi"/>
          <w:color w:val="000000"/>
          <w:szCs w:val="22"/>
          <w:shd w:val="clear" w:color="auto" w:fill="FFFFFF"/>
        </w:rPr>
        <w:t>mentor teachers at first teaching small groups of children, team teaching, and teaching the whole class. Pre-service teachers are not expected to assume full responsibility for students: this remains the responsibility of the mentor teacher</w:t>
      </w:r>
      <w:r w:rsidR="000D163E" w:rsidRPr="00FB2838">
        <w:rPr>
          <w:rFonts w:cstheme="majorHAnsi"/>
          <w:color w:val="000000"/>
          <w:szCs w:val="22"/>
          <w:shd w:val="clear" w:color="auto" w:fill="FFFFFF"/>
        </w:rPr>
        <w:t xml:space="preserve"> who assumes duty of care.</w:t>
      </w:r>
    </w:p>
    <w:p w14:paraId="6F8AED96" w14:textId="77777777" w:rsidR="002303BB" w:rsidRPr="00FB2838" w:rsidRDefault="002303BB" w:rsidP="00FB2838">
      <w:pPr>
        <w:ind w:left="-709"/>
        <w:rPr>
          <w:rFonts w:cstheme="majorHAnsi"/>
          <w:color w:val="000000"/>
          <w:szCs w:val="22"/>
          <w:shd w:val="clear" w:color="auto" w:fill="FFFFFF"/>
        </w:rPr>
      </w:pPr>
    </w:p>
    <w:p w14:paraId="615A6CCA" w14:textId="3FCECB07" w:rsidR="003B7AF9" w:rsidRPr="00FB2838" w:rsidRDefault="003B7AF9" w:rsidP="00FB2838">
      <w:pPr>
        <w:ind w:left="-709"/>
        <w:rPr>
          <w:rFonts w:cstheme="majorHAnsi"/>
          <w:color w:val="000000"/>
          <w:szCs w:val="22"/>
          <w:shd w:val="clear" w:color="auto" w:fill="FFFFFF"/>
        </w:rPr>
      </w:pPr>
      <w:r w:rsidRPr="00FB2838">
        <w:rPr>
          <w:rFonts w:cstheme="majorHAnsi"/>
          <w:color w:val="000000"/>
          <w:szCs w:val="22"/>
          <w:shd w:val="clear" w:color="auto" w:fill="FFFFFF"/>
        </w:rPr>
        <w:t xml:space="preserve">Pre-service teachers are expected to shadow their mentor teacher in all activities carried out during the </w:t>
      </w:r>
      <w:r w:rsidR="000D163E" w:rsidRPr="00FB2838">
        <w:rPr>
          <w:rFonts w:cstheme="majorHAnsi"/>
          <w:color w:val="000000"/>
          <w:szCs w:val="22"/>
          <w:shd w:val="clear" w:color="auto" w:fill="FFFFFF"/>
        </w:rPr>
        <w:t xml:space="preserve">school </w:t>
      </w:r>
      <w:r w:rsidRPr="00FB2838">
        <w:rPr>
          <w:rFonts w:cstheme="majorHAnsi"/>
          <w:color w:val="000000"/>
          <w:szCs w:val="22"/>
          <w:shd w:val="clear" w:color="auto" w:fill="FFFFFF"/>
        </w:rPr>
        <w:t xml:space="preserve">day </w:t>
      </w:r>
      <w:r w:rsidR="000D163E" w:rsidRPr="00FB2838">
        <w:rPr>
          <w:rFonts w:cstheme="majorHAnsi"/>
          <w:color w:val="000000"/>
          <w:szCs w:val="22"/>
          <w:shd w:val="clear" w:color="auto" w:fill="FFFFFF"/>
        </w:rPr>
        <w:t xml:space="preserve">including </w:t>
      </w:r>
      <w:r w:rsidRPr="00FB2838">
        <w:rPr>
          <w:rFonts w:cstheme="majorHAnsi"/>
          <w:color w:val="000000"/>
          <w:szCs w:val="22"/>
          <w:shd w:val="clear" w:color="auto" w:fill="FFFFFF"/>
        </w:rPr>
        <w:t xml:space="preserve">yard </w:t>
      </w:r>
      <w:r w:rsidR="000D163E" w:rsidRPr="00FB2838">
        <w:rPr>
          <w:rFonts w:cstheme="majorHAnsi"/>
          <w:color w:val="000000"/>
          <w:szCs w:val="22"/>
          <w:shd w:val="clear" w:color="auto" w:fill="FFFFFF"/>
        </w:rPr>
        <w:t xml:space="preserve">and </w:t>
      </w:r>
      <w:r w:rsidRPr="00FB2838">
        <w:rPr>
          <w:rFonts w:cstheme="majorHAnsi"/>
          <w:color w:val="000000"/>
          <w:szCs w:val="22"/>
          <w:shd w:val="clear" w:color="auto" w:fill="FFFFFF"/>
        </w:rPr>
        <w:t>bus dut</w:t>
      </w:r>
      <w:r w:rsidR="000D163E" w:rsidRPr="00FB2838">
        <w:rPr>
          <w:rFonts w:cstheme="majorHAnsi"/>
          <w:color w:val="000000"/>
          <w:szCs w:val="22"/>
          <w:shd w:val="clear" w:color="auto" w:fill="FFFFFF"/>
        </w:rPr>
        <w:t>ies</w:t>
      </w:r>
      <w:r w:rsidRPr="00FB2838">
        <w:rPr>
          <w:rFonts w:cstheme="majorHAnsi"/>
          <w:color w:val="000000"/>
          <w:szCs w:val="22"/>
          <w:shd w:val="clear" w:color="auto" w:fill="FFFFFF"/>
        </w:rPr>
        <w:t>, parent-teacher meetings, staff meetings and professional development</w:t>
      </w:r>
      <w:r w:rsidR="00916B19" w:rsidRPr="00FB2838">
        <w:rPr>
          <w:rFonts w:cstheme="majorHAnsi"/>
          <w:color w:val="000000"/>
          <w:szCs w:val="22"/>
          <w:shd w:val="clear" w:color="auto" w:fill="FFFFFF"/>
        </w:rPr>
        <w:t>.  P</w:t>
      </w:r>
      <w:r w:rsidRPr="00FB2838">
        <w:rPr>
          <w:rFonts w:cstheme="majorHAnsi"/>
          <w:color w:val="000000"/>
          <w:szCs w:val="22"/>
          <w:shd w:val="clear" w:color="auto" w:fill="FFFFFF"/>
        </w:rPr>
        <w:t xml:space="preserve">articipation in extracurricular activities and school camps needs to be negotiated between the pre-service teacher and mentor teacher, and </w:t>
      </w:r>
      <w:r w:rsidR="000D163E" w:rsidRPr="00FB2838">
        <w:rPr>
          <w:rFonts w:cstheme="majorHAnsi"/>
          <w:color w:val="000000"/>
          <w:szCs w:val="22"/>
          <w:shd w:val="clear" w:color="auto" w:fill="FFFFFF"/>
        </w:rPr>
        <w:t xml:space="preserve">CDU </w:t>
      </w:r>
      <w:r w:rsidRPr="00FB2838">
        <w:rPr>
          <w:rFonts w:cstheme="majorHAnsi"/>
          <w:color w:val="000000"/>
          <w:szCs w:val="22"/>
          <w:shd w:val="clear" w:color="auto" w:fill="FFFFFF"/>
        </w:rPr>
        <w:t>staff if required</w:t>
      </w:r>
      <w:r w:rsidR="000F6FBA" w:rsidRPr="00FB2838">
        <w:rPr>
          <w:rFonts w:cstheme="majorHAnsi"/>
          <w:color w:val="000000"/>
          <w:szCs w:val="22"/>
          <w:shd w:val="clear" w:color="auto" w:fill="FFFFFF"/>
        </w:rPr>
        <w:t xml:space="preserve"> due to legal and other considerations</w:t>
      </w:r>
      <w:r w:rsidRPr="00FB2838">
        <w:rPr>
          <w:rFonts w:cstheme="majorHAnsi"/>
          <w:color w:val="000000"/>
          <w:szCs w:val="22"/>
          <w:shd w:val="clear" w:color="auto" w:fill="FFFFFF"/>
        </w:rPr>
        <w:t>.</w:t>
      </w:r>
    </w:p>
    <w:p w14:paraId="4194342C" w14:textId="6DA25BD1" w:rsidR="002010EA" w:rsidRPr="00390832" w:rsidRDefault="002010EA" w:rsidP="00390832">
      <w:pPr>
        <w:pStyle w:val="body"/>
        <w:spacing w:before="0" w:after="0" w:line="240" w:lineRule="auto"/>
        <w:ind w:left="-567"/>
        <w:rPr>
          <w:rFonts w:asciiTheme="majorHAnsi" w:eastAsiaTheme="minorHAnsi" w:hAnsiTheme="majorHAnsi" w:cstheme="majorHAnsi"/>
          <w:lang w:val="en-US"/>
        </w:rPr>
      </w:pPr>
    </w:p>
    <w:p w14:paraId="11B01D8F" w14:textId="61F42C68" w:rsidR="001902BB" w:rsidRDefault="002010EA" w:rsidP="00390832">
      <w:pPr>
        <w:pStyle w:val="body"/>
        <w:spacing w:before="0" w:after="0" w:line="240" w:lineRule="auto"/>
        <w:ind w:left="-567"/>
        <w:rPr>
          <w:rFonts w:asciiTheme="majorHAnsi" w:eastAsiaTheme="minorHAnsi" w:hAnsiTheme="majorHAnsi" w:cstheme="majorHAnsi"/>
          <w:lang w:val="en-US"/>
        </w:rPr>
      </w:pPr>
      <w:r w:rsidRPr="00390832">
        <w:rPr>
          <w:rFonts w:asciiTheme="majorHAnsi" w:eastAsiaTheme="minorHAnsi" w:hAnsiTheme="majorHAnsi" w:cstheme="majorHAnsi"/>
          <w:lang w:val="en-US"/>
        </w:rPr>
        <w:t>The course overview of the Master of Teaching Primary is provided at the end of</w:t>
      </w:r>
      <w:r w:rsidR="000F6FBA" w:rsidRPr="00390832">
        <w:rPr>
          <w:rFonts w:asciiTheme="majorHAnsi" w:eastAsiaTheme="minorHAnsi" w:hAnsiTheme="majorHAnsi" w:cstheme="majorHAnsi"/>
          <w:lang w:val="en-US"/>
        </w:rPr>
        <w:t xml:space="preserve"> this</w:t>
      </w:r>
      <w:r w:rsidRPr="00390832">
        <w:rPr>
          <w:rFonts w:asciiTheme="majorHAnsi" w:eastAsiaTheme="minorHAnsi" w:hAnsiTheme="majorHAnsi" w:cstheme="majorHAnsi"/>
          <w:lang w:val="en-US"/>
        </w:rPr>
        <w:t xml:space="preserve"> document</w:t>
      </w:r>
      <w:r w:rsidR="000D163E" w:rsidRPr="00390832">
        <w:rPr>
          <w:rFonts w:asciiTheme="majorHAnsi" w:eastAsiaTheme="minorHAnsi" w:hAnsiTheme="majorHAnsi" w:cstheme="majorHAnsi"/>
          <w:lang w:val="en-US"/>
        </w:rPr>
        <w:t xml:space="preserve"> to illustrate </w:t>
      </w:r>
      <w:r w:rsidRPr="00390832">
        <w:rPr>
          <w:rFonts w:asciiTheme="majorHAnsi" w:eastAsiaTheme="minorHAnsi" w:hAnsiTheme="majorHAnsi" w:cstheme="majorHAnsi"/>
          <w:lang w:val="en-US"/>
        </w:rPr>
        <w:t>what pre-service teachers have completed prior to commencing this placement.</w:t>
      </w:r>
    </w:p>
    <w:p w14:paraId="6F58761C" w14:textId="77777777" w:rsidR="00390832" w:rsidRPr="00390832" w:rsidRDefault="00390832" w:rsidP="00390832">
      <w:pPr>
        <w:pStyle w:val="body"/>
        <w:spacing w:before="0" w:after="0" w:line="240" w:lineRule="auto"/>
        <w:ind w:left="-567"/>
        <w:rPr>
          <w:rFonts w:asciiTheme="majorHAnsi" w:eastAsiaTheme="minorHAnsi" w:hAnsiTheme="majorHAnsi" w:cstheme="majorHAnsi"/>
          <w:lang w:val="en-US"/>
        </w:rPr>
      </w:pPr>
    </w:p>
    <w:p w14:paraId="09179F47" w14:textId="77777777" w:rsidR="003036EA" w:rsidRPr="00DB1541" w:rsidRDefault="003036EA" w:rsidP="002303BB">
      <w:pPr>
        <w:framePr w:hSpace="180" w:wrap="around" w:vAnchor="text" w:hAnchor="margin" w:xAlign="center" w:y="-12904"/>
        <w:rPr>
          <w:rFonts w:asciiTheme="minorHAnsi" w:hAnsiTheme="minorHAnsi" w:cstheme="minorHAnsi"/>
          <w:sz w:val="24"/>
        </w:rPr>
      </w:pPr>
    </w:p>
    <w:p w14:paraId="6A460A15" w14:textId="39E81B8E" w:rsidR="003036EA" w:rsidRPr="00390832" w:rsidRDefault="003036EA" w:rsidP="00390832">
      <w:pPr>
        <w:spacing w:before="60" w:after="60"/>
        <w:ind w:left="-567"/>
        <w:rPr>
          <w:rStyle w:val="Heading2Char"/>
        </w:rPr>
      </w:pPr>
      <w:r w:rsidRPr="00390832">
        <w:rPr>
          <w:rStyle w:val="Heading2Char"/>
        </w:rPr>
        <w:t xml:space="preserve">Teaching Load </w:t>
      </w:r>
    </w:p>
    <w:p w14:paraId="77D04D36" w14:textId="148CBFC0" w:rsidR="00396049" w:rsidRPr="00390832" w:rsidRDefault="003036EA" w:rsidP="00390832">
      <w:pPr>
        <w:pStyle w:val="body"/>
        <w:spacing w:before="0" w:after="0" w:line="240" w:lineRule="auto"/>
        <w:ind w:left="-567"/>
        <w:rPr>
          <w:rFonts w:asciiTheme="majorHAnsi" w:eastAsiaTheme="minorHAnsi" w:hAnsiTheme="majorHAnsi" w:cstheme="majorHAnsi"/>
          <w:lang w:val="en-US"/>
        </w:rPr>
      </w:pPr>
      <w:r w:rsidRPr="00390832">
        <w:rPr>
          <w:rFonts w:asciiTheme="majorHAnsi" w:eastAsiaTheme="minorHAnsi" w:hAnsiTheme="majorHAnsi" w:cstheme="majorHAnsi"/>
          <w:lang w:val="en-US"/>
        </w:rPr>
        <w:t>The following is a guide to the minimal requirements of a 30</w:t>
      </w:r>
      <w:r w:rsidR="00BC273D" w:rsidRPr="00390832">
        <w:rPr>
          <w:rFonts w:asciiTheme="majorHAnsi" w:eastAsiaTheme="minorHAnsi" w:hAnsiTheme="majorHAnsi" w:cstheme="majorHAnsi"/>
          <w:lang w:val="en-US"/>
        </w:rPr>
        <w:t>-</w:t>
      </w:r>
      <w:r w:rsidRPr="00390832">
        <w:rPr>
          <w:rFonts w:asciiTheme="majorHAnsi" w:eastAsiaTheme="minorHAnsi" w:hAnsiTheme="majorHAnsi" w:cstheme="majorHAnsi"/>
          <w:lang w:val="en-US"/>
        </w:rPr>
        <w:t xml:space="preserve">day placement, which can be adjusted based on the context </w:t>
      </w:r>
      <w:r w:rsidR="00396049" w:rsidRPr="00390832">
        <w:rPr>
          <w:rFonts w:asciiTheme="majorHAnsi" w:eastAsiaTheme="minorHAnsi" w:hAnsiTheme="majorHAnsi" w:cstheme="majorHAnsi"/>
          <w:lang w:val="en-US"/>
        </w:rPr>
        <w:t>and circumstances which may arise during the placement.</w:t>
      </w:r>
    </w:p>
    <w:p w14:paraId="76A4D421" w14:textId="4B14C293" w:rsidR="00396049" w:rsidRPr="00390832" w:rsidRDefault="00396049" w:rsidP="00390832">
      <w:pPr>
        <w:pStyle w:val="body"/>
        <w:spacing w:before="0" w:after="0" w:line="240" w:lineRule="auto"/>
        <w:ind w:left="-567"/>
        <w:rPr>
          <w:rFonts w:asciiTheme="majorHAnsi" w:eastAsiaTheme="minorHAnsi" w:hAnsiTheme="majorHAnsi" w:cstheme="majorHAnsi"/>
          <w:lang w:val="en-US"/>
        </w:rPr>
      </w:pPr>
    </w:p>
    <w:p w14:paraId="767967FA" w14:textId="60E4B7D8" w:rsidR="00396049" w:rsidRPr="00390832" w:rsidRDefault="00396049" w:rsidP="00390832">
      <w:pPr>
        <w:pStyle w:val="body"/>
        <w:spacing w:before="0" w:after="0" w:line="240" w:lineRule="auto"/>
        <w:ind w:left="-567"/>
        <w:rPr>
          <w:rFonts w:asciiTheme="majorHAnsi" w:eastAsiaTheme="minorHAnsi" w:hAnsiTheme="majorHAnsi" w:cstheme="majorHAnsi"/>
          <w:lang w:val="en-US"/>
        </w:rPr>
      </w:pPr>
      <w:r w:rsidRPr="00390832">
        <w:rPr>
          <w:rFonts w:asciiTheme="majorHAnsi" w:eastAsiaTheme="minorHAnsi" w:hAnsiTheme="majorHAnsi" w:cstheme="majorHAnsi"/>
          <w:lang w:val="en-US"/>
        </w:rPr>
        <w:t xml:space="preserve">From the beginning of Week </w:t>
      </w:r>
      <w:r w:rsidR="00EB5235" w:rsidRPr="00390832">
        <w:rPr>
          <w:rFonts w:asciiTheme="majorHAnsi" w:eastAsiaTheme="minorHAnsi" w:hAnsiTheme="majorHAnsi" w:cstheme="majorHAnsi"/>
          <w:lang w:val="en-US"/>
        </w:rPr>
        <w:t>1</w:t>
      </w:r>
      <w:r w:rsidRPr="00390832">
        <w:rPr>
          <w:rFonts w:asciiTheme="majorHAnsi" w:eastAsiaTheme="minorHAnsi" w:hAnsiTheme="majorHAnsi" w:cstheme="majorHAnsi"/>
          <w:lang w:val="en-US"/>
        </w:rPr>
        <w:t xml:space="preserve">, pre-service teachers should be </w:t>
      </w:r>
      <w:r w:rsidR="00EB5235" w:rsidRPr="00390832">
        <w:rPr>
          <w:rFonts w:asciiTheme="majorHAnsi" w:eastAsiaTheme="minorHAnsi" w:hAnsiTheme="majorHAnsi" w:cstheme="majorHAnsi"/>
          <w:lang w:val="en-US"/>
        </w:rPr>
        <w:t xml:space="preserve">comprehensively planning for their teaching (Element 1) and by the beginning of Week 3 </w:t>
      </w:r>
      <w:r w:rsidRPr="00390832">
        <w:rPr>
          <w:rFonts w:asciiTheme="majorHAnsi" w:eastAsiaTheme="minorHAnsi" w:hAnsiTheme="majorHAnsi" w:cstheme="majorHAnsi"/>
          <w:lang w:val="en-US"/>
        </w:rPr>
        <w:t xml:space="preserve">teaching continuously and implementing the teaching </w:t>
      </w:r>
      <w:r w:rsidR="00EB5235" w:rsidRPr="00390832">
        <w:rPr>
          <w:rFonts w:asciiTheme="majorHAnsi" w:eastAsiaTheme="minorHAnsi" w:hAnsiTheme="majorHAnsi" w:cstheme="majorHAnsi"/>
          <w:lang w:val="en-US"/>
        </w:rPr>
        <w:t xml:space="preserve">(Element 2) </w:t>
      </w:r>
      <w:r w:rsidRPr="00390832">
        <w:rPr>
          <w:rFonts w:asciiTheme="majorHAnsi" w:eastAsiaTheme="minorHAnsi" w:hAnsiTheme="majorHAnsi" w:cstheme="majorHAnsi"/>
          <w:lang w:val="en-US"/>
        </w:rPr>
        <w:t xml:space="preserve">and assessment </w:t>
      </w:r>
      <w:r w:rsidR="00EB5235" w:rsidRPr="00390832">
        <w:rPr>
          <w:rFonts w:asciiTheme="majorHAnsi" w:eastAsiaTheme="minorHAnsi" w:hAnsiTheme="majorHAnsi" w:cstheme="majorHAnsi"/>
          <w:lang w:val="en-US"/>
        </w:rPr>
        <w:t xml:space="preserve">(Element 3) </w:t>
      </w:r>
      <w:r w:rsidRPr="00390832">
        <w:rPr>
          <w:rFonts w:asciiTheme="majorHAnsi" w:eastAsiaTheme="minorHAnsi" w:hAnsiTheme="majorHAnsi" w:cstheme="majorHAnsi"/>
          <w:lang w:val="en-US"/>
        </w:rPr>
        <w:t>components of the AfGT.</w:t>
      </w:r>
    </w:p>
    <w:p w14:paraId="5E9BB3FE" w14:textId="16550712" w:rsidR="00396049" w:rsidRPr="00390832" w:rsidRDefault="00396049" w:rsidP="00390832">
      <w:pPr>
        <w:pStyle w:val="body"/>
        <w:spacing w:before="0" w:after="0" w:line="240" w:lineRule="auto"/>
        <w:ind w:left="-567"/>
        <w:rPr>
          <w:rFonts w:asciiTheme="majorHAnsi" w:eastAsiaTheme="minorHAnsi" w:hAnsiTheme="majorHAnsi" w:cstheme="majorHAnsi"/>
          <w:lang w:val="en-US"/>
        </w:rPr>
      </w:pPr>
    </w:p>
    <w:p w14:paraId="56FCF150" w14:textId="637DA495" w:rsidR="00396049" w:rsidRPr="00390832" w:rsidRDefault="00396049" w:rsidP="00390832">
      <w:pPr>
        <w:pStyle w:val="body"/>
        <w:spacing w:before="0" w:after="0" w:line="240" w:lineRule="auto"/>
        <w:ind w:left="-567"/>
        <w:rPr>
          <w:rFonts w:asciiTheme="majorHAnsi" w:eastAsiaTheme="minorHAnsi" w:hAnsiTheme="majorHAnsi" w:cstheme="majorHAnsi"/>
          <w:lang w:val="en-US"/>
        </w:rPr>
      </w:pPr>
      <w:r w:rsidRPr="00390832">
        <w:rPr>
          <w:rFonts w:asciiTheme="majorHAnsi" w:eastAsiaTheme="minorHAnsi" w:hAnsiTheme="majorHAnsi" w:cstheme="majorHAnsi"/>
          <w:lang w:val="en-US"/>
        </w:rPr>
        <w:t xml:space="preserve">In summary, the three Elements of the AFGT need to be </w:t>
      </w:r>
      <w:r w:rsidR="00EB5235" w:rsidRPr="00390832">
        <w:rPr>
          <w:rFonts w:asciiTheme="majorHAnsi" w:eastAsiaTheme="minorHAnsi" w:hAnsiTheme="majorHAnsi" w:cstheme="majorHAnsi"/>
          <w:lang w:val="en-US"/>
        </w:rPr>
        <w:t xml:space="preserve">sequenced </w:t>
      </w:r>
      <w:r w:rsidR="000D163E" w:rsidRPr="00390832">
        <w:rPr>
          <w:rFonts w:asciiTheme="majorHAnsi" w:eastAsiaTheme="minorHAnsi" w:hAnsiTheme="majorHAnsi" w:cstheme="majorHAnsi"/>
          <w:lang w:val="en-US"/>
        </w:rPr>
        <w:t xml:space="preserve">and submitted to CDU </w:t>
      </w:r>
      <w:r w:rsidRPr="00390832">
        <w:rPr>
          <w:rFonts w:asciiTheme="majorHAnsi" w:eastAsiaTheme="minorHAnsi" w:hAnsiTheme="majorHAnsi" w:cstheme="majorHAnsi"/>
          <w:lang w:val="en-US"/>
        </w:rPr>
        <w:t>as follows:</w:t>
      </w:r>
    </w:p>
    <w:p w14:paraId="2863289B" w14:textId="77777777" w:rsidR="00390832" w:rsidRDefault="00390832" w:rsidP="002303BB">
      <w:pPr>
        <w:rPr>
          <w:rFonts w:eastAsiaTheme="minorHAnsi" w:cstheme="majorHAnsi"/>
          <w:color w:val="auto"/>
          <w:szCs w:val="22"/>
        </w:rPr>
      </w:pPr>
    </w:p>
    <w:p w14:paraId="7002CA24" w14:textId="5C89AA9D" w:rsidR="00396049" w:rsidRPr="00390832" w:rsidRDefault="00DB1541" w:rsidP="00390832">
      <w:pPr>
        <w:ind w:left="-567"/>
        <w:rPr>
          <w:rFonts w:cstheme="majorHAnsi"/>
          <w:b/>
          <w:bCs/>
        </w:rPr>
      </w:pPr>
      <w:r w:rsidRPr="00390832">
        <w:rPr>
          <w:rFonts w:cstheme="majorHAnsi"/>
          <w:b/>
          <w:bCs/>
        </w:rPr>
        <w:t>Element 1 needs to be Submitted to CDU by the end of Week 2</w:t>
      </w:r>
    </w:p>
    <w:p w14:paraId="01CBAA20" w14:textId="77777777" w:rsidR="00DB1541" w:rsidRPr="00390832" w:rsidRDefault="00DB1541" w:rsidP="00390832">
      <w:pPr>
        <w:ind w:left="-567"/>
        <w:rPr>
          <w:rFonts w:cstheme="majorHAnsi"/>
        </w:rPr>
      </w:pPr>
    </w:p>
    <w:p w14:paraId="60DDC8FE" w14:textId="04FD65CD" w:rsidR="00396049" w:rsidRPr="00390832" w:rsidRDefault="00EB5235" w:rsidP="00390832">
      <w:pPr>
        <w:ind w:left="-567"/>
        <w:rPr>
          <w:rFonts w:cstheme="majorHAnsi"/>
        </w:rPr>
      </w:pPr>
      <w:r w:rsidRPr="00390832">
        <w:rPr>
          <w:rFonts w:cstheme="majorHAnsi"/>
        </w:rPr>
        <w:t xml:space="preserve">In </w:t>
      </w:r>
      <w:r w:rsidRPr="00390832">
        <w:rPr>
          <w:rFonts w:cstheme="majorHAnsi"/>
          <w:b/>
          <w:bCs/>
        </w:rPr>
        <w:t>Element 1</w:t>
      </w:r>
      <w:r w:rsidRPr="00390832">
        <w:rPr>
          <w:rFonts w:cstheme="majorHAnsi"/>
        </w:rPr>
        <w:t xml:space="preserve">, </w:t>
      </w:r>
      <w:r w:rsidR="00396049" w:rsidRPr="00390832">
        <w:rPr>
          <w:rFonts w:cstheme="majorHAnsi"/>
          <w:color w:val="262626"/>
          <w:shd w:val="clear" w:color="auto" w:fill="FFFFFF"/>
        </w:rPr>
        <w:t xml:space="preserve">the focus is on </w:t>
      </w:r>
      <w:r w:rsidRPr="00390832">
        <w:rPr>
          <w:rFonts w:cstheme="majorHAnsi"/>
          <w:color w:val="262626"/>
          <w:shd w:val="clear" w:color="auto" w:fill="FFFFFF"/>
        </w:rPr>
        <w:t xml:space="preserve">the pre-service teacher’s </w:t>
      </w:r>
      <w:r w:rsidR="00396049" w:rsidRPr="00390832">
        <w:rPr>
          <w:rFonts w:cstheme="majorHAnsi"/>
          <w:color w:val="262626"/>
          <w:shd w:val="clear" w:color="auto" w:fill="FFFFFF"/>
        </w:rPr>
        <w:t xml:space="preserve">capacity to understand </w:t>
      </w:r>
      <w:r w:rsidR="00396049" w:rsidRPr="00390832">
        <w:rPr>
          <w:rFonts w:cstheme="majorHAnsi"/>
          <w:b/>
          <w:bCs/>
          <w:color w:val="262626"/>
          <w:shd w:val="clear" w:color="auto" w:fill="FFFFFF"/>
        </w:rPr>
        <w:t xml:space="preserve">the context of </w:t>
      </w:r>
      <w:r w:rsidRPr="00390832">
        <w:rPr>
          <w:rFonts w:cstheme="majorHAnsi"/>
          <w:b/>
          <w:bCs/>
          <w:color w:val="262626"/>
          <w:shd w:val="clear" w:color="auto" w:fill="FFFFFF"/>
        </w:rPr>
        <w:t xml:space="preserve">the </w:t>
      </w:r>
      <w:r w:rsidR="00396049" w:rsidRPr="00390832">
        <w:rPr>
          <w:rFonts w:cstheme="majorHAnsi"/>
          <w:b/>
          <w:bCs/>
          <w:color w:val="262626"/>
          <w:shd w:val="clear" w:color="auto" w:fill="FFFFFF"/>
        </w:rPr>
        <w:t xml:space="preserve">placement and </w:t>
      </w:r>
      <w:r w:rsidR="00396049" w:rsidRPr="00390832">
        <w:rPr>
          <w:rStyle w:val="Emphasis"/>
          <w:rFonts w:cstheme="majorHAnsi"/>
          <w:b/>
          <w:bCs/>
          <w:color w:val="262626"/>
          <w:shd w:val="clear" w:color="auto" w:fill="FFFFFF"/>
        </w:rPr>
        <w:t>planning </w:t>
      </w:r>
      <w:r w:rsidR="00396049" w:rsidRPr="00390832">
        <w:rPr>
          <w:rFonts w:cstheme="majorHAnsi"/>
          <w:b/>
          <w:bCs/>
          <w:color w:val="262626"/>
          <w:shd w:val="clear" w:color="auto" w:fill="FFFFFF"/>
        </w:rPr>
        <w:t xml:space="preserve">for student learning </w:t>
      </w:r>
      <w:r w:rsidR="00396049" w:rsidRPr="00390832">
        <w:rPr>
          <w:rFonts w:cstheme="majorHAnsi"/>
          <w:color w:val="262626"/>
          <w:shd w:val="clear" w:color="auto" w:fill="FFFFFF"/>
        </w:rPr>
        <w:t>in relation to the specific goal/s of the sequence of lessons, and the ways in which</w:t>
      </w:r>
      <w:r w:rsidRPr="00390832">
        <w:rPr>
          <w:rFonts w:cstheme="majorHAnsi"/>
          <w:color w:val="262626"/>
          <w:shd w:val="clear" w:color="auto" w:fill="FFFFFF"/>
        </w:rPr>
        <w:t xml:space="preserve"> </w:t>
      </w:r>
      <w:r w:rsidR="00396049" w:rsidRPr="00390832">
        <w:rPr>
          <w:rFonts w:cstheme="majorHAnsi"/>
          <w:color w:val="262626"/>
          <w:shd w:val="clear" w:color="auto" w:fill="FFFFFF"/>
        </w:rPr>
        <w:t>impact on student learning</w:t>
      </w:r>
      <w:r w:rsidRPr="00390832">
        <w:rPr>
          <w:rFonts w:cstheme="majorHAnsi"/>
          <w:color w:val="262626"/>
          <w:shd w:val="clear" w:color="auto" w:fill="FFFFFF"/>
        </w:rPr>
        <w:t xml:space="preserve"> will be evidenced</w:t>
      </w:r>
      <w:r w:rsidR="00396049" w:rsidRPr="00390832">
        <w:rPr>
          <w:rFonts w:cstheme="majorHAnsi"/>
          <w:color w:val="262626"/>
          <w:shd w:val="clear" w:color="auto" w:fill="FFFFFF"/>
        </w:rPr>
        <w:t xml:space="preserve">. </w:t>
      </w:r>
      <w:r w:rsidRPr="00390832">
        <w:rPr>
          <w:rFonts w:cstheme="majorHAnsi"/>
          <w:color w:val="262626"/>
          <w:shd w:val="clear" w:color="auto" w:fill="FFFFFF"/>
        </w:rPr>
        <w:t xml:space="preserve"> Pre-service teachers </w:t>
      </w:r>
      <w:r w:rsidR="00396049" w:rsidRPr="00390832">
        <w:rPr>
          <w:rFonts w:cstheme="majorHAnsi"/>
          <w:color w:val="262626"/>
          <w:shd w:val="clear" w:color="auto" w:fill="FFFFFF"/>
        </w:rPr>
        <w:t xml:space="preserve">need to </w:t>
      </w:r>
      <w:r w:rsidRPr="00390832">
        <w:rPr>
          <w:rFonts w:cstheme="majorHAnsi"/>
          <w:color w:val="262626"/>
          <w:shd w:val="clear" w:color="auto" w:fill="FFFFFF"/>
        </w:rPr>
        <w:t xml:space="preserve">satisfactorily complete </w:t>
      </w:r>
      <w:r w:rsidR="00396049" w:rsidRPr="00390832">
        <w:rPr>
          <w:rFonts w:cstheme="majorHAnsi"/>
          <w:color w:val="262626"/>
          <w:shd w:val="clear" w:color="auto" w:fill="FFFFFF"/>
        </w:rPr>
        <w:t>Element 1 to demonstrate that the Australian Professional Standards for Teachers are met at Graduate level. The APST Standards being assessed in Element 1 are: 1.1, 1.2, 1.3, 1.5, 2.1, 2.2, 2.3, 2.5, 2.6, 3.1, 3.2, 3.3, 3.4, 4.1, 4.4, 4.5, 5.1, 5.2, 5.3, 5.4 and 6.3. </w:t>
      </w:r>
    </w:p>
    <w:p w14:paraId="2F293395" w14:textId="77777777" w:rsidR="00DB1541" w:rsidRPr="00390832" w:rsidRDefault="00DB1541" w:rsidP="00390832">
      <w:pPr>
        <w:ind w:left="-567"/>
        <w:rPr>
          <w:rFonts w:cstheme="majorHAnsi"/>
        </w:rPr>
      </w:pPr>
    </w:p>
    <w:p w14:paraId="77567B08" w14:textId="35C31046" w:rsidR="00DB1541" w:rsidRPr="00390832" w:rsidRDefault="00DB1541" w:rsidP="00390832">
      <w:pPr>
        <w:ind w:left="-567"/>
        <w:rPr>
          <w:rFonts w:cstheme="majorHAnsi"/>
          <w:b/>
          <w:bCs/>
        </w:rPr>
      </w:pPr>
      <w:r w:rsidRPr="00390832">
        <w:rPr>
          <w:rFonts w:cstheme="majorHAnsi"/>
          <w:b/>
          <w:bCs/>
        </w:rPr>
        <w:t>Element 2 needs to be Submitted to CDU by the end of Week 4</w:t>
      </w:r>
    </w:p>
    <w:p w14:paraId="39D2AA8F" w14:textId="3B17054F" w:rsidR="00396049" w:rsidRPr="00390832" w:rsidRDefault="00396049" w:rsidP="00390832">
      <w:pPr>
        <w:shd w:val="clear" w:color="auto" w:fill="FFFFFF"/>
        <w:spacing w:before="100" w:beforeAutospacing="1" w:after="100" w:afterAutospacing="1"/>
        <w:ind w:left="-567"/>
        <w:rPr>
          <w:rFonts w:eastAsia="Times New Roman" w:cstheme="majorHAnsi"/>
          <w:color w:val="262626"/>
          <w:lang w:val="en-AU" w:eastAsia="en-AU"/>
        </w:rPr>
      </w:pPr>
      <w:r w:rsidRPr="00390832">
        <w:rPr>
          <w:rFonts w:eastAsia="Times New Roman" w:cstheme="majorHAnsi"/>
          <w:color w:val="262626"/>
          <w:lang w:val="en-AU" w:eastAsia="en-AU"/>
        </w:rPr>
        <w:t xml:space="preserve">In </w:t>
      </w:r>
      <w:r w:rsidRPr="00390832">
        <w:rPr>
          <w:rFonts w:eastAsia="Times New Roman" w:cstheme="majorHAnsi"/>
          <w:b/>
          <w:bCs/>
          <w:color w:val="262626"/>
          <w:lang w:val="en-AU" w:eastAsia="en-AU"/>
        </w:rPr>
        <w:t>Element</w:t>
      </w:r>
      <w:r w:rsidR="00EB5235" w:rsidRPr="00390832">
        <w:rPr>
          <w:rFonts w:eastAsia="Times New Roman" w:cstheme="majorHAnsi"/>
          <w:b/>
          <w:bCs/>
          <w:color w:val="262626"/>
          <w:lang w:val="en-AU" w:eastAsia="en-AU"/>
        </w:rPr>
        <w:t xml:space="preserve"> 2</w:t>
      </w:r>
      <w:r w:rsidRPr="00390832">
        <w:rPr>
          <w:rFonts w:eastAsia="Times New Roman" w:cstheme="majorHAnsi"/>
          <w:color w:val="262626"/>
          <w:lang w:val="en-AU" w:eastAsia="en-AU"/>
        </w:rPr>
        <w:t>, the focus is o</w:t>
      </w:r>
      <w:r w:rsidR="00EB5235" w:rsidRPr="00390832">
        <w:rPr>
          <w:rFonts w:eastAsia="Times New Roman" w:cstheme="majorHAnsi"/>
          <w:color w:val="262626"/>
          <w:lang w:val="en-AU" w:eastAsia="en-AU"/>
        </w:rPr>
        <w:t xml:space="preserve">n the </w:t>
      </w:r>
      <w:r w:rsidRPr="00390832">
        <w:rPr>
          <w:rFonts w:eastAsia="Times New Roman" w:cstheme="majorHAnsi"/>
          <w:color w:val="262626"/>
          <w:lang w:val="en-AU" w:eastAsia="en-AU"/>
        </w:rPr>
        <w:t xml:space="preserve">capacity </w:t>
      </w:r>
      <w:r w:rsidR="00EB5235" w:rsidRPr="00390832">
        <w:rPr>
          <w:rFonts w:eastAsia="Times New Roman" w:cstheme="majorHAnsi"/>
          <w:color w:val="262626"/>
          <w:lang w:val="en-AU" w:eastAsia="en-AU"/>
        </w:rPr>
        <w:t xml:space="preserve">of the pre-service teacher </w:t>
      </w:r>
      <w:r w:rsidRPr="00390832">
        <w:rPr>
          <w:rFonts w:eastAsia="Times New Roman" w:cstheme="majorHAnsi"/>
          <w:color w:val="262626"/>
          <w:lang w:val="en-AU" w:eastAsia="en-AU"/>
        </w:rPr>
        <w:t xml:space="preserve">to understand the </w:t>
      </w:r>
      <w:r w:rsidRPr="00390832">
        <w:rPr>
          <w:rFonts w:eastAsia="Times New Roman" w:cstheme="majorHAnsi"/>
          <w:b/>
          <w:bCs/>
          <w:color w:val="262626"/>
          <w:lang w:val="en-AU" w:eastAsia="en-AU"/>
        </w:rPr>
        <w:t>implications of pedagogical practice on student learning</w:t>
      </w:r>
      <w:r w:rsidRPr="00390832">
        <w:rPr>
          <w:rFonts w:eastAsia="Times New Roman" w:cstheme="majorHAnsi"/>
          <w:color w:val="262626"/>
          <w:lang w:val="en-AU" w:eastAsia="en-AU"/>
        </w:rPr>
        <w:t xml:space="preserve"> and to demonstra</w:t>
      </w:r>
      <w:r w:rsidR="00EB5235" w:rsidRPr="00390832">
        <w:rPr>
          <w:rFonts w:eastAsia="Times New Roman" w:cstheme="majorHAnsi"/>
          <w:color w:val="262626"/>
          <w:lang w:val="en-AU" w:eastAsia="en-AU"/>
        </w:rPr>
        <w:t>te the</w:t>
      </w:r>
      <w:r w:rsidR="00392FE7" w:rsidRPr="00390832">
        <w:rPr>
          <w:rFonts w:eastAsia="Times New Roman" w:cstheme="majorHAnsi"/>
          <w:color w:val="262626"/>
          <w:lang w:val="en-AU" w:eastAsia="en-AU"/>
        </w:rPr>
        <w:t xml:space="preserve">ir </w:t>
      </w:r>
      <w:r w:rsidR="00EB5235" w:rsidRPr="00390832">
        <w:rPr>
          <w:rFonts w:eastAsia="Times New Roman" w:cstheme="majorHAnsi"/>
          <w:color w:val="262626"/>
          <w:lang w:val="en-AU" w:eastAsia="en-AU"/>
        </w:rPr>
        <w:t>impact on student learning</w:t>
      </w:r>
      <w:r w:rsidRPr="00390832">
        <w:rPr>
          <w:rFonts w:eastAsia="Times New Roman" w:cstheme="majorHAnsi"/>
          <w:color w:val="262626"/>
          <w:lang w:val="en-AU" w:eastAsia="en-AU"/>
        </w:rPr>
        <w:t xml:space="preserve">. </w:t>
      </w:r>
      <w:r w:rsidR="00EB5235" w:rsidRPr="00390832">
        <w:rPr>
          <w:rFonts w:eastAsia="Times New Roman" w:cstheme="majorHAnsi"/>
          <w:color w:val="262626"/>
          <w:lang w:val="en-AU" w:eastAsia="en-AU"/>
        </w:rPr>
        <w:t xml:space="preserve"> The pre-service teacher collects evidence </w:t>
      </w:r>
      <w:r w:rsidRPr="00390832">
        <w:rPr>
          <w:rFonts w:eastAsia="Times New Roman" w:cstheme="majorHAnsi"/>
          <w:color w:val="262626"/>
          <w:lang w:val="en-AU" w:eastAsia="en-AU"/>
        </w:rPr>
        <w:t>(via video</w:t>
      </w:r>
      <w:r w:rsidR="00EB5235" w:rsidRPr="00390832">
        <w:rPr>
          <w:rFonts w:eastAsia="Times New Roman" w:cstheme="majorHAnsi"/>
          <w:color w:val="262626"/>
          <w:lang w:val="en-AU" w:eastAsia="en-AU"/>
        </w:rPr>
        <w:t>;</w:t>
      </w:r>
      <w:r w:rsidRPr="00390832">
        <w:rPr>
          <w:rFonts w:eastAsia="Times New Roman" w:cstheme="majorHAnsi"/>
          <w:color w:val="262626"/>
          <w:lang w:val="en-AU" w:eastAsia="en-AU"/>
        </w:rPr>
        <w:t xml:space="preserve"> mentor, student, and peer (if available) feedback)</w:t>
      </w:r>
      <w:r w:rsidR="00EB5235" w:rsidRPr="00390832">
        <w:rPr>
          <w:rFonts w:eastAsia="Times New Roman" w:cstheme="majorHAnsi"/>
          <w:color w:val="262626"/>
          <w:lang w:val="en-AU" w:eastAsia="en-AU"/>
        </w:rPr>
        <w:t xml:space="preserve"> </w:t>
      </w:r>
      <w:r w:rsidRPr="00390832">
        <w:rPr>
          <w:rFonts w:eastAsia="Times New Roman" w:cstheme="majorHAnsi"/>
          <w:color w:val="262626"/>
          <w:lang w:val="en-AU" w:eastAsia="en-AU"/>
        </w:rPr>
        <w:t xml:space="preserve">on two Key Pedagogical Segments (KPSs). The first KPS should be early in the sequence of lessons; the second should be towards the end of the sequence of lessons. </w:t>
      </w:r>
      <w:r w:rsidR="00EB5235" w:rsidRPr="00390832">
        <w:rPr>
          <w:rFonts w:eastAsia="Times New Roman" w:cstheme="majorHAnsi"/>
          <w:color w:val="262626"/>
          <w:lang w:val="en-AU" w:eastAsia="en-AU"/>
        </w:rPr>
        <w:t xml:space="preserve">The pre-service teacher is </w:t>
      </w:r>
      <w:r w:rsidRPr="00390832">
        <w:rPr>
          <w:rFonts w:eastAsia="Times New Roman" w:cstheme="majorHAnsi"/>
          <w:color w:val="262626"/>
          <w:lang w:val="en-AU" w:eastAsia="en-AU"/>
        </w:rPr>
        <w:t xml:space="preserve">required to analyse </w:t>
      </w:r>
      <w:r w:rsidR="00EB5235" w:rsidRPr="00390832">
        <w:rPr>
          <w:rFonts w:eastAsia="Times New Roman" w:cstheme="majorHAnsi"/>
          <w:color w:val="262626"/>
          <w:lang w:val="en-AU" w:eastAsia="en-AU"/>
        </w:rPr>
        <w:t xml:space="preserve">their </w:t>
      </w:r>
      <w:r w:rsidRPr="00390832">
        <w:rPr>
          <w:rFonts w:eastAsia="Times New Roman" w:cstheme="majorHAnsi"/>
          <w:color w:val="262626"/>
          <w:lang w:val="en-AU" w:eastAsia="en-AU"/>
        </w:rPr>
        <w:t>teaching, to demonstrate how the complexity and interrelation of learning and teaching</w:t>
      </w:r>
      <w:r w:rsidR="00EB5235" w:rsidRPr="00390832">
        <w:rPr>
          <w:rFonts w:eastAsia="Times New Roman" w:cstheme="majorHAnsi"/>
          <w:color w:val="262626"/>
          <w:lang w:val="en-AU" w:eastAsia="en-AU"/>
        </w:rPr>
        <w:t xml:space="preserve"> were considered and </w:t>
      </w:r>
      <w:r w:rsidRPr="00390832">
        <w:rPr>
          <w:rFonts w:eastAsia="Times New Roman" w:cstheme="majorHAnsi"/>
          <w:color w:val="262626"/>
          <w:lang w:val="en-AU" w:eastAsia="en-AU"/>
        </w:rPr>
        <w:t xml:space="preserve">reflected </w:t>
      </w:r>
      <w:r w:rsidR="00EB5235" w:rsidRPr="00390832">
        <w:rPr>
          <w:rFonts w:eastAsia="Times New Roman" w:cstheme="majorHAnsi"/>
          <w:color w:val="262626"/>
          <w:lang w:val="en-AU" w:eastAsia="en-AU"/>
        </w:rPr>
        <w:t>upon in</w:t>
      </w:r>
      <w:r w:rsidRPr="00390832">
        <w:rPr>
          <w:rFonts w:eastAsia="Times New Roman" w:cstheme="majorHAnsi"/>
          <w:color w:val="262626"/>
          <w:lang w:val="en-AU" w:eastAsia="en-AU"/>
        </w:rPr>
        <w:t xml:space="preserve"> </w:t>
      </w:r>
      <w:r w:rsidR="00392FE7" w:rsidRPr="00390832">
        <w:rPr>
          <w:rFonts w:eastAsia="Times New Roman" w:cstheme="majorHAnsi"/>
          <w:color w:val="262626"/>
          <w:lang w:val="en-AU" w:eastAsia="en-AU"/>
        </w:rPr>
        <w:t xml:space="preserve">the </w:t>
      </w:r>
      <w:r w:rsidR="00EB5235" w:rsidRPr="00390832">
        <w:rPr>
          <w:rFonts w:eastAsia="Times New Roman" w:cstheme="majorHAnsi"/>
          <w:color w:val="262626"/>
          <w:lang w:val="en-AU" w:eastAsia="en-AU"/>
        </w:rPr>
        <w:t xml:space="preserve">light of </w:t>
      </w:r>
      <w:r w:rsidRPr="00390832">
        <w:rPr>
          <w:rFonts w:eastAsia="Times New Roman" w:cstheme="majorHAnsi"/>
          <w:color w:val="262626"/>
          <w:lang w:val="en-AU" w:eastAsia="en-AU"/>
        </w:rPr>
        <w:t>learning goals, and role of professional judgements that have been made in</w:t>
      </w:r>
      <w:r w:rsidR="00EB5235" w:rsidRPr="00390832">
        <w:rPr>
          <w:rFonts w:eastAsia="Times New Roman" w:cstheme="majorHAnsi"/>
          <w:color w:val="262626"/>
          <w:lang w:val="en-AU" w:eastAsia="en-AU"/>
        </w:rPr>
        <w:t xml:space="preserve"> </w:t>
      </w:r>
      <w:r w:rsidRPr="00390832">
        <w:rPr>
          <w:rFonts w:eastAsia="Times New Roman" w:cstheme="majorHAnsi"/>
          <w:color w:val="262626"/>
          <w:lang w:val="en-AU" w:eastAsia="en-AU"/>
        </w:rPr>
        <w:t>teaching</w:t>
      </w:r>
      <w:r w:rsidR="00EB5235" w:rsidRPr="00390832">
        <w:rPr>
          <w:rFonts w:eastAsia="Times New Roman" w:cstheme="majorHAnsi"/>
          <w:color w:val="262626"/>
          <w:lang w:val="en-AU" w:eastAsia="en-AU"/>
        </w:rPr>
        <w:t xml:space="preserve"> of the two nominated KPSs</w:t>
      </w:r>
      <w:r w:rsidRPr="00390832">
        <w:rPr>
          <w:rFonts w:eastAsia="Times New Roman" w:cstheme="majorHAnsi"/>
          <w:color w:val="262626"/>
          <w:lang w:val="en-AU" w:eastAsia="en-AU"/>
        </w:rPr>
        <w:t xml:space="preserve">. </w:t>
      </w:r>
      <w:r w:rsidR="00EB5235" w:rsidRPr="00390832">
        <w:rPr>
          <w:rFonts w:eastAsia="Times New Roman" w:cstheme="majorHAnsi"/>
          <w:color w:val="262626"/>
          <w:lang w:val="en-AU" w:eastAsia="en-AU"/>
        </w:rPr>
        <w:t xml:space="preserve"> Pre-service teachers need to satisfactorily complete </w:t>
      </w:r>
      <w:r w:rsidRPr="00390832">
        <w:rPr>
          <w:rFonts w:eastAsia="Times New Roman" w:cstheme="majorHAnsi"/>
          <w:color w:val="262626"/>
          <w:lang w:val="en-AU" w:eastAsia="en-AU"/>
        </w:rPr>
        <w:t>Element 2 to demonstrate that the Australian Professional Standards for Teachers are met at Graduate level. The APST Standards being assessed in Element 2 are: 1.1, 1.2, 1.5, 3.1, 3.3, 3.4, 3.5, 3.6, 4.2, 4.3, 4.4, 5.4 and 6.3.</w:t>
      </w:r>
    </w:p>
    <w:p w14:paraId="20BC40D8" w14:textId="0F401899" w:rsidR="00DB1541" w:rsidRPr="00390832" w:rsidRDefault="00DB1541" w:rsidP="00390832">
      <w:pPr>
        <w:ind w:left="-567"/>
        <w:rPr>
          <w:rFonts w:cstheme="majorHAnsi"/>
          <w:b/>
          <w:bCs/>
          <w:szCs w:val="22"/>
        </w:rPr>
      </w:pPr>
      <w:r w:rsidRPr="00390832">
        <w:rPr>
          <w:rFonts w:cstheme="majorHAnsi"/>
          <w:b/>
          <w:bCs/>
          <w:szCs w:val="22"/>
        </w:rPr>
        <w:t>Element 3 needs to be Submitted to CDU by the end of Week 6</w:t>
      </w:r>
    </w:p>
    <w:p w14:paraId="12B6E4F4" w14:textId="58F3421F" w:rsidR="00396049" w:rsidRPr="00390832" w:rsidRDefault="00396049" w:rsidP="00390832">
      <w:pPr>
        <w:shd w:val="clear" w:color="auto" w:fill="FFFFFF"/>
        <w:spacing w:before="100" w:beforeAutospacing="1" w:after="100" w:afterAutospacing="1"/>
        <w:ind w:left="-567"/>
        <w:rPr>
          <w:rFonts w:eastAsia="Times New Roman" w:cstheme="majorHAnsi"/>
          <w:color w:val="262626"/>
          <w:szCs w:val="22"/>
          <w:lang w:val="en-AU" w:eastAsia="en-AU"/>
        </w:rPr>
      </w:pPr>
      <w:r w:rsidRPr="00390832">
        <w:rPr>
          <w:rFonts w:eastAsia="Times New Roman" w:cstheme="majorHAnsi"/>
          <w:color w:val="262626"/>
          <w:szCs w:val="22"/>
          <w:lang w:val="en-AU" w:eastAsia="en-AU"/>
        </w:rPr>
        <w:t xml:space="preserve">In </w:t>
      </w:r>
      <w:r w:rsidRPr="00390832">
        <w:rPr>
          <w:rFonts w:eastAsia="Times New Roman" w:cstheme="majorHAnsi"/>
          <w:b/>
          <w:bCs/>
          <w:color w:val="262626"/>
          <w:szCs w:val="22"/>
          <w:lang w:val="en-AU" w:eastAsia="en-AU"/>
        </w:rPr>
        <w:t>Element</w:t>
      </w:r>
      <w:r w:rsidR="00392FE7" w:rsidRPr="00390832">
        <w:rPr>
          <w:rFonts w:eastAsia="Times New Roman" w:cstheme="majorHAnsi"/>
          <w:b/>
          <w:bCs/>
          <w:color w:val="262626"/>
          <w:szCs w:val="22"/>
          <w:lang w:val="en-AU" w:eastAsia="en-AU"/>
        </w:rPr>
        <w:t xml:space="preserve"> 3</w:t>
      </w:r>
      <w:r w:rsidRPr="00390832">
        <w:rPr>
          <w:rFonts w:eastAsia="Times New Roman" w:cstheme="majorHAnsi"/>
          <w:color w:val="262626"/>
          <w:szCs w:val="22"/>
          <w:lang w:val="en-AU" w:eastAsia="en-AU"/>
        </w:rPr>
        <w:t xml:space="preserve">, the focus is on the pre-service teacher’s capacity to implement a targeted </w:t>
      </w:r>
      <w:r w:rsidRPr="00390832">
        <w:rPr>
          <w:rFonts w:eastAsia="Times New Roman" w:cstheme="majorHAnsi"/>
          <w:b/>
          <w:bCs/>
          <w:i/>
          <w:iCs/>
          <w:color w:val="262626"/>
          <w:szCs w:val="22"/>
          <w:lang w:val="en-AU" w:eastAsia="en-AU"/>
        </w:rPr>
        <w:t>summative assessment task</w:t>
      </w:r>
      <w:r w:rsidRPr="00390832">
        <w:rPr>
          <w:rFonts w:eastAsia="Times New Roman" w:cstheme="majorHAnsi"/>
          <w:color w:val="262626"/>
          <w:szCs w:val="22"/>
          <w:lang w:val="en-AU" w:eastAsia="en-AU"/>
        </w:rPr>
        <w:t xml:space="preserve"> as part of the cyclic process of collecting and analysing evidence of what students know, understand and can do. Pre-service teachers will determine the extent to which all students in the class have been able to achieve the overarching learning goals for the sequence of lessons. PSTs will need to </w:t>
      </w:r>
      <w:r w:rsidR="00392FE7" w:rsidRPr="00390832">
        <w:rPr>
          <w:rFonts w:eastAsia="Times New Roman" w:cstheme="majorHAnsi"/>
          <w:color w:val="262626"/>
          <w:szCs w:val="22"/>
          <w:lang w:val="en-AU" w:eastAsia="en-AU"/>
        </w:rPr>
        <w:t xml:space="preserve">satisfactorily complete </w:t>
      </w:r>
      <w:r w:rsidRPr="00390832">
        <w:rPr>
          <w:rFonts w:eastAsia="Times New Roman" w:cstheme="majorHAnsi"/>
          <w:color w:val="262626"/>
          <w:szCs w:val="22"/>
          <w:lang w:val="en-AU" w:eastAsia="en-AU"/>
        </w:rPr>
        <w:t xml:space="preserve">Element 3 to demonstrate that the </w:t>
      </w:r>
      <w:r w:rsidRPr="00390832">
        <w:rPr>
          <w:rFonts w:eastAsia="Times New Roman" w:cstheme="majorHAnsi"/>
          <w:i/>
          <w:iCs/>
          <w:color w:val="262626"/>
          <w:szCs w:val="22"/>
          <w:lang w:val="en-AU" w:eastAsia="en-AU"/>
        </w:rPr>
        <w:t>Australian Professional Standards for Teachers</w:t>
      </w:r>
      <w:r w:rsidR="00392FE7" w:rsidRPr="00390832">
        <w:rPr>
          <w:rFonts w:eastAsia="Times New Roman" w:cstheme="majorHAnsi"/>
          <w:i/>
          <w:iCs/>
          <w:color w:val="262626"/>
          <w:szCs w:val="22"/>
          <w:lang w:val="en-AU" w:eastAsia="en-AU"/>
        </w:rPr>
        <w:t xml:space="preserve"> </w:t>
      </w:r>
      <w:r w:rsidRPr="00390832">
        <w:rPr>
          <w:rFonts w:eastAsia="Times New Roman" w:cstheme="majorHAnsi"/>
          <w:color w:val="262626"/>
          <w:szCs w:val="22"/>
          <w:lang w:val="en-AU" w:eastAsia="en-AU"/>
        </w:rPr>
        <w:t>are met at Graduate level. The APST Standards being assessed in Element 3 are: 1.2, 1.5, 3.6, 5.1, 5.2, 5.3, and 5.4. </w:t>
      </w:r>
    </w:p>
    <w:p w14:paraId="073C8518" w14:textId="6C3841BD" w:rsidR="00392FE7" w:rsidRPr="00390832" w:rsidRDefault="00392FE7" w:rsidP="00390832">
      <w:pPr>
        <w:shd w:val="clear" w:color="auto" w:fill="FFFFFF"/>
        <w:spacing w:before="100" w:beforeAutospacing="1" w:after="100" w:afterAutospacing="1"/>
        <w:ind w:left="-567"/>
        <w:rPr>
          <w:rFonts w:eastAsia="Times New Roman" w:cstheme="majorHAnsi"/>
          <w:color w:val="262626"/>
          <w:szCs w:val="22"/>
          <w:lang w:val="en-AU" w:eastAsia="en-AU"/>
        </w:rPr>
      </w:pPr>
      <w:r w:rsidRPr="00390832">
        <w:rPr>
          <w:rFonts w:eastAsia="Times New Roman" w:cstheme="majorHAnsi"/>
          <w:color w:val="262626"/>
          <w:szCs w:val="22"/>
          <w:lang w:val="en-AU" w:eastAsia="en-AU"/>
        </w:rPr>
        <w:t xml:space="preserve">Ideally, pre-service teachers should submit Element 3 on Learnline (CD) prior to </w:t>
      </w:r>
      <w:r w:rsidR="000D163E" w:rsidRPr="00390832">
        <w:rPr>
          <w:rFonts w:eastAsia="Times New Roman" w:cstheme="majorHAnsi"/>
          <w:color w:val="262626"/>
          <w:szCs w:val="22"/>
          <w:lang w:val="en-AU" w:eastAsia="en-AU"/>
        </w:rPr>
        <w:t xml:space="preserve">the </w:t>
      </w:r>
      <w:r w:rsidRPr="00390832">
        <w:rPr>
          <w:rFonts w:eastAsia="Times New Roman" w:cstheme="majorHAnsi"/>
          <w:color w:val="262626"/>
          <w:szCs w:val="22"/>
          <w:lang w:val="en-AU" w:eastAsia="en-AU"/>
        </w:rPr>
        <w:t>end of placement and issuing of the Final Report.</w:t>
      </w:r>
    </w:p>
    <w:p w14:paraId="55DEA210" w14:textId="77777777" w:rsidR="00FB2838" w:rsidRDefault="00FB2838" w:rsidP="00661DE7">
      <w:pPr>
        <w:spacing w:before="60" w:after="60"/>
        <w:ind w:left="-567"/>
        <w:rPr>
          <w:rStyle w:val="Heading2Char"/>
        </w:rPr>
      </w:pPr>
    </w:p>
    <w:p w14:paraId="1B178F2D" w14:textId="77777777" w:rsidR="00FB2838" w:rsidRDefault="00FB2838" w:rsidP="00661DE7">
      <w:pPr>
        <w:spacing w:before="60" w:after="60"/>
        <w:ind w:left="-567"/>
        <w:rPr>
          <w:rStyle w:val="Heading2Char"/>
        </w:rPr>
      </w:pPr>
    </w:p>
    <w:p w14:paraId="4B31D30E" w14:textId="3327DB5F" w:rsidR="00894A87" w:rsidRPr="00661DE7" w:rsidRDefault="003036EA" w:rsidP="00661DE7">
      <w:pPr>
        <w:spacing w:before="60" w:after="60"/>
        <w:ind w:left="-567"/>
        <w:rPr>
          <w:rStyle w:val="Heading2Char"/>
        </w:rPr>
      </w:pPr>
      <w:r w:rsidRPr="00661DE7">
        <w:rPr>
          <w:rStyle w:val="Heading2Char"/>
        </w:rPr>
        <w:lastRenderedPageBreak/>
        <w:t>Role of the Mentor Teacher</w:t>
      </w:r>
      <w:bookmarkStart w:id="0" w:name="_GoBack"/>
      <w:bookmarkEnd w:id="0"/>
    </w:p>
    <w:p w14:paraId="719E23A4" w14:textId="1D230109" w:rsidR="003036EA" w:rsidRPr="00390832" w:rsidRDefault="003036EA" w:rsidP="00390832">
      <w:pPr>
        <w:pStyle w:val="Heading1"/>
        <w:ind w:left="-567"/>
        <w:rPr>
          <w:rFonts w:asciiTheme="majorHAnsi" w:hAnsiTheme="majorHAnsi" w:cstheme="majorHAnsi"/>
          <w:b w:val="0"/>
          <w:bCs/>
          <w:sz w:val="22"/>
          <w:szCs w:val="22"/>
        </w:rPr>
      </w:pPr>
      <w:r w:rsidRPr="00390832">
        <w:rPr>
          <w:rFonts w:asciiTheme="majorHAnsi" w:hAnsiTheme="majorHAnsi" w:cstheme="majorHAnsi"/>
          <w:b w:val="0"/>
          <w:bCs/>
          <w:sz w:val="22"/>
          <w:szCs w:val="22"/>
        </w:rPr>
        <w:t xml:space="preserve">The mentor teacher is a </w:t>
      </w:r>
      <w:r w:rsidR="00392FE7" w:rsidRPr="00390832">
        <w:rPr>
          <w:rFonts w:asciiTheme="majorHAnsi" w:hAnsiTheme="majorHAnsi" w:cstheme="majorHAnsi"/>
          <w:b w:val="0"/>
          <w:bCs/>
          <w:sz w:val="22"/>
          <w:szCs w:val="22"/>
        </w:rPr>
        <w:t xml:space="preserve">registered </w:t>
      </w:r>
      <w:r w:rsidRPr="00390832">
        <w:rPr>
          <w:rFonts w:asciiTheme="majorHAnsi" w:hAnsiTheme="majorHAnsi" w:cstheme="majorHAnsi"/>
          <w:b w:val="0"/>
          <w:bCs/>
          <w:sz w:val="22"/>
          <w:szCs w:val="22"/>
        </w:rPr>
        <w:t>teacher who provides</w:t>
      </w:r>
      <w:r w:rsidR="00894A87" w:rsidRPr="00390832">
        <w:rPr>
          <w:rFonts w:asciiTheme="majorHAnsi" w:hAnsiTheme="majorHAnsi" w:cstheme="majorHAnsi"/>
          <w:b w:val="0"/>
          <w:bCs/>
          <w:sz w:val="22"/>
          <w:szCs w:val="22"/>
        </w:rPr>
        <w:t xml:space="preserve"> </w:t>
      </w:r>
      <w:r w:rsidR="003B366A" w:rsidRPr="00390832">
        <w:rPr>
          <w:rFonts w:asciiTheme="majorHAnsi" w:hAnsiTheme="majorHAnsi" w:cstheme="majorHAnsi"/>
          <w:b w:val="0"/>
          <w:bCs/>
          <w:sz w:val="22"/>
          <w:szCs w:val="22"/>
        </w:rPr>
        <w:t>access to his or her classroom/</w:t>
      </w:r>
      <w:r w:rsidRPr="00390832">
        <w:rPr>
          <w:rFonts w:asciiTheme="majorHAnsi" w:hAnsiTheme="majorHAnsi" w:cstheme="majorHAnsi"/>
          <w:b w:val="0"/>
          <w:bCs/>
          <w:sz w:val="22"/>
          <w:szCs w:val="22"/>
        </w:rPr>
        <w:t xml:space="preserve">learning environment for the purposes of supervising, coaching and mentoring pre-service teachers to successfully complete a professional experience placement and develop their teaching capabilities. Built into this role is the responsibility of supervising the planning of a pre-service teacher's professional experience program and for evaluation of the practice of the pre-service teacher, as well as helping them to develop and reflect upon their own practice. </w:t>
      </w:r>
    </w:p>
    <w:p w14:paraId="5ACA5113" w14:textId="7227E4A4" w:rsidR="003036EA" w:rsidRPr="00390832" w:rsidRDefault="003036EA" w:rsidP="00390832">
      <w:pPr>
        <w:ind w:left="-567"/>
        <w:rPr>
          <w:rFonts w:cstheme="majorHAnsi"/>
          <w:szCs w:val="22"/>
        </w:rPr>
      </w:pPr>
      <w:r w:rsidRPr="00390832">
        <w:rPr>
          <w:rFonts w:cstheme="majorHAnsi"/>
          <w:szCs w:val="22"/>
        </w:rPr>
        <w:t xml:space="preserve">A Mentor Teacher supervises and supports the development of pre-service teacher’s teaching skills by facilitating learning through professional conversations about: </w:t>
      </w:r>
    </w:p>
    <w:p w14:paraId="7F7B4C81" w14:textId="77777777" w:rsidR="003B366A" w:rsidRPr="00390832" w:rsidRDefault="003B366A" w:rsidP="002303BB">
      <w:pPr>
        <w:rPr>
          <w:rFonts w:cstheme="majorHAnsi"/>
          <w:b/>
          <w:szCs w:val="22"/>
        </w:rPr>
      </w:pPr>
    </w:p>
    <w:p w14:paraId="1E95218B" w14:textId="28968959"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Expectations of all school stakeholders (Parents, students, support staff, etc)</w:t>
      </w:r>
      <w:r w:rsidR="00721548" w:rsidRPr="00390832">
        <w:rPr>
          <w:rFonts w:cstheme="majorHAnsi"/>
          <w:szCs w:val="22"/>
        </w:rPr>
        <w:t>;</w:t>
      </w:r>
    </w:p>
    <w:p w14:paraId="5A348A97" w14:textId="71022DCF"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Classroom management (</w:t>
      </w:r>
      <w:r w:rsidR="00721548" w:rsidRPr="00390832">
        <w:rPr>
          <w:rFonts w:cstheme="majorHAnsi"/>
          <w:szCs w:val="22"/>
        </w:rPr>
        <w:t>programming, positive guidance);</w:t>
      </w:r>
    </w:p>
    <w:p w14:paraId="2CB5AC6E" w14:textId="2B19317E"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Availability of curriculum materials and teaching, assessment, reporting and evaluation</w:t>
      </w:r>
      <w:r w:rsidR="00721548" w:rsidRPr="00390832">
        <w:rPr>
          <w:rFonts w:cstheme="majorHAnsi"/>
          <w:szCs w:val="22"/>
        </w:rPr>
        <w:t>;</w:t>
      </w:r>
      <w:r w:rsidRPr="00390832">
        <w:rPr>
          <w:rFonts w:cstheme="majorHAnsi"/>
          <w:szCs w:val="22"/>
        </w:rPr>
        <w:t xml:space="preserve"> </w:t>
      </w:r>
    </w:p>
    <w:p w14:paraId="50A4CF2D" w14:textId="36012ADE"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Process for accessing facilities and equipment, including ICT resources</w:t>
      </w:r>
      <w:r w:rsidR="00721548" w:rsidRPr="00390832">
        <w:rPr>
          <w:rFonts w:cstheme="majorHAnsi"/>
          <w:szCs w:val="22"/>
        </w:rPr>
        <w:t>;</w:t>
      </w:r>
    </w:p>
    <w:p w14:paraId="5DACDBAB" w14:textId="7C738D82"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 xml:space="preserve">Information about the setting, including the background interests and abilities of the children, learning program and resources; </w:t>
      </w:r>
    </w:p>
    <w:p w14:paraId="7808A7A5" w14:textId="2BCB3686" w:rsidR="00930658" w:rsidRPr="00390832" w:rsidRDefault="00930658" w:rsidP="00390832">
      <w:pPr>
        <w:pStyle w:val="ListParagraph"/>
        <w:numPr>
          <w:ilvl w:val="0"/>
          <w:numId w:val="6"/>
        </w:numPr>
        <w:spacing w:before="0" w:after="0"/>
        <w:ind w:left="426"/>
        <w:rPr>
          <w:rFonts w:cstheme="majorHAnsi"/>
          <w:szCs w:val="22"/>
        </w:rPr>
      </w:pPr>
      <w:r w:rsidRPr="00390832">
        <w:rPr>
          <w:rFonts w:cstheme="majorHAnsi"/>
          <w:szCs w:val="22"/>
        </w:rPr>
        <w:t>Assist the pre-service teacher collect appropriate evidence;</w:t>
      </w:r>
      <w:r w:rsidR="00721548" w:rsidRPr="00390832">
        <w:rPr>
          <w:rFonts w:cstheme="majorHAnsi"/>
          <w:szCs w:val="22"/>
        </w:rPr>
        <w:t xml:space="preserve"> and</w:t>
      </w:r>
    </w:p>
    <w:p w14:paraId="4B7425A8" w14:textId="5EDC891E"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Where appropriate orientate the pre-service teacher to the setting, including introductions to staff, provision of rules and expectations, explanation of roles and responsibilities and information about the location and borrowing of resources.</w:t>
      </w:r>
    </w:p>
    <w:p w14:paraId="4D852801" w14:textId="77777777" w:rsidR="00721548" w:rsidRPr="00390832" w:rsidRDefault="00721548" w:rsidP="00721548">
      <w:pPr>
        <w:pStyle w:val="ListParagraph"/>
        <w:spacing w:before="0" w:after="0"/>
        <w:ind w:left="1080"/>
        <w:rPr>
          <w:rFonts w:cstheme="majorHAnsi"/>
          <w:szCs w:val="22"/>
        </w:rPr>
      </w:pPr>
    </w:p>
    <w:p w14:paraId="41D58582" w14:textId="77777777" w:rsidR="003036EA" w:rsidRPr="00390832" w:rsidRDefault="003036EA" w:rsidP="00390832">
      <w:pPr>
        <w:ind w:left="-567"/>
        <w:rPr>
          <w:rFonts w:cstheme="majorHAnsi"/>
          <w:b/>
          <w:szCs w:val="22"/>
        </w:rPr>
      </w:pPr>
      <w:r w:rsidRPr="00390832">
        <w:rPr>
          <w:rFonts w:cstheme="majorHAnsi"/>
          <w:szCs w:val="22"/>
        </w:rPr>
        <w:t xml:space="preserve">In addition, the mentor teacher should: </w:t>
      </w:r>
    </w:p>
    <w:p w14:paraId="376FA026" w14:textId="47A1FC65"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Engage the pre-service teacher in collaborative teaching</w:t>
      </w:r>
      <w:r w:rsidR="00721548" w:rsidRPr="00390832">
        <w:rPr>
          <w:rFonts w:cstheme="majorHAnsi"/>
          <w:szCs w:val="22"/>
        </w:rPr>
        <w:t>;</w:t>
      </w:r>
      <w:r w:rsidRPr="00390832">
        <w:rPr>
          <w:rFonts w:cstheme="majorHAnsi"/>
          <w:szCs w:val="22"/>
        </w:rPr>
        <w:t xml:space="preserve"> </w:t>
      </w:r>
    </w:p>
    <w:p w14:paraId="505F9610" w14:textId="772A2E7D"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Provide adequate time, information and resources to enable the pre-service teacher to meet the requirements of the professional experience;</w:t>
      </w:r>
    </w:p>
    <w:p w14:paraId="7E0CCFDB" w14:textId="2F4712FD"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 xml:space="preserve">Talk in a reflective way about teaching practices </w:t>
      </w:r>
    </w:p>
    <w:p w14:paraId="4C8F01EA" w14:textId="2203629A"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Help initiate the pre-service teacher into the culture of the educational context and community</w:t>
      </w:r>
      <w:r w:rsidR="00721548" w:rsidRPr="00390832">
        <w:rPr>
          <w:rFonts w:cstheme="majorHAnsi"/>
          <w:szCs w:val="22"/>
        </w:rPr>
        <w:t>;</w:t>
      </w:r>
      <w:r w:rsidRPr="00390832">
        <w:rPr>
          <w:rFonts w:cstheme="majorHAnsi"/>
          <w:szCs w:val="22"/>
        </w:rPr>
        <w:t xml:space="preserve"> </w:t>
      </w:r>
    </w:p>
    <w:p w14:paraId="25494381" w14:textId="2AEBD76F"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Undertake some modelling, scaffolding and coaching</w:t>
      </w:r>
      <w:r w:rsidR="00721548" w:rsidRPr="00390832">
        <w:rPr>
          <w:rFonts w:cstheme="majorHAnsi"/>
          <w:szCs w:val="22"/>
        </w:rPr>
        <w:t>;</w:t>
      </w:r>
      <w:r w:rsidRPr="00390832">
        <w:rPr>
          <w:rFonts w:cstheme="majorHAnsi"/>
          <w:szCs w:val="22"/>
        </w:rPr>
        <w:t xml:space="preserve"> </w:t>
      </w:r>
    </w:p>
    <w:p w14:paraId="06AF6902" w14:textId="051C7A06"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Provide written or oral feedback on all teaching experiences and lesson/day plans</w:t>
      </w:r>
      <w:r w:rsidR="00721548" w:rsidRPr="00390832">
        <w:rPr>
          <w:rFonts w:cstheme="majorHAnsi"/>
          <w:szCs w:val="22"/>
        </w:rPr>
        <w:t>;</w:t>
      </w:r>
      <w:r w:rsidRPr="00390832">
        <w:rPr>
          <w:rFonts w:cstheme="majorHAnsi"/>
          <w:szCs w:val="22"/>
        </w:rPr>
        <w:t xml:space="preserve"> </w:t>
      </w:r>
    </w:p>
    <w:p w14:paraId="125C2D99" w14:textId="7E000BD3"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Facilitate adjustment to the room, the school/service and school/service community</w:t>
      </w:r>
      <w:r w:rsidR="00721548" w:rsidRPr="00390832">
        <w:rPr>
          <w:rFonts w:cstheme="majorHAnsi"/>
          <w:szCs w:val="22"/>
        </w:rPr>
        <w:t>;</w:t>
      </w:r>
      <w:r w:rsidRPr="00390832">
        <w:rPr>
          <w:rFonts w:cstheme="majorHAnsi"/>
          <w:szCs w:val="22"/>
        </w:rPr>
        <w:t xml:space="preserve"> </w:t>
      </w:r>
    </w:p>
    <w:p w14:paraId="754DFF13" w14:textId="5BB0A68E"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Engage in reflective practice and evaluation of teaching experiences</w:t>
      </w:r>
      <w:r w:rsidR="00721548" w:rsidRPr="00390832">
        <w:rPr>
          <w:rFonts w:cstheme="majorHAnsi"/>
          <w:szCs w:val="22"/>
        </w:rPr>
        <w:t>;</w:t>
      </w:r>
      <w:r w:rsidRPr="00390832">
        <w:rPr>
          <w:rFonts w:cstheme="majorHAnsi"/>
          <w:szCs w:val="22"/>
        </w:rPr>
        <w:t xml:space="preserve"> </w:t>
      </w:r>
    </w:p>
    <w:p w14:paraId="4C3F7A75" w14:textId="13BD35BA" w:rsidR="003036EA" w:rsidRPr="00390832" w:rsidRDefault="00721548" w:rsidP="00390832">
      <w:pPr>
        <w:pStyle w:val="ListParagraph"/>
        <w:numPr>
          <w:ilvl w:val="0"/>
          <w:numId w:val="6"/>
        </w:numPr>
        <w:spacing w:before="0" w:after="0"/>
        <w:ind w:left="426"/>
        <w:rPr>
          <w:rFonts w:cstheme="majorHAnsi"/>
          <w:szCs w:val="22"/>
        </w:rPr>
      </w:pPr>
      <w:r w:rsidRPr="00390832">
        <w:rPr>
          <w:rFonts w:cstheme="majorHAnsi"/>
          <w:szCs w:val="22"/>
        </w:rPr>
        <w:t>Complete an interim report;</w:t>
      </w:r>
    </w:p>
    <w:p w14:paraId="706F1C50" w14:textId="5DE66953"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Ensure that appropriate ‘placement concern’ procedures are</w:t>
      </w:r>
      <w:r w:rsidR="00237977" w:rsidRPr="00390832">
        <w:rPr>
          <w:rFonts w:cstheme="majorHAnsi"/>
          <w:szCs w:val="22"/>
        </w:rPr>
        <w:t xml:space="preserve"> </w:t>
      </w:r>
      <w:r w:rsidR="00721548" w:rsidRPr="00390832">
        <w:rPr>
          <w:rFonts w:cstheme="majorHAnsi"/>
          <w:szCs w:val="22"/>
        </w:rPr>
        <w:t>followed, if applicable; and</w:t>
      </w:r>
      <w:r w:rsidRPr="00390832">
        <w:rPr>
          <w:rFonts w:cstheme="majorHAnsi"/>
          <w:szCs w:val="22"/>
        </w:rPr>
        <w:t xml:space="preserve"> </w:t>
      </w:r>
    </w:p>
    <w:p w14:paraId="0E11B8AE" w14:textId="77777777" w:rsidR="003036EA" w:rsidRPr="00390832" w:rsidRDefault="003036EA" w:rsidP="00390832">
      <w:pPr>
        <w:pStyle w:val="ListParagraph"/>
        <w:framePr w:hSpace="180" w:wrap="around" w:vAnchor="text" w:hAnchor="margin" w:xAlign="center" w:y="-12904"/>
        <w:numPr>
          <w:ilvl w:val="0"/>
          <w:numId w:val="6"/>
        </w:numPr>
        <w:spacing w:before="0" w:after="0"/>
        <w:ind w:left="426"/>
        <w:rPr>
          <w:rFonts w:cstheme="majorHAnsi"/>
          <w:szCs w:val="22"/>
        </w:rPr>
      </w:pPr>
    </w:p>
    <w:p w14:paraId="73A585C0" w14:textId="4AFBB9F3" w:rsidR="003036EA" w:rsidRPr="00390832" w:rsidRDefault="003036EA" w:rsidP="00390832">
      <w:pPr>
        <w:pStyle w:val="ListParagraph"/>
        <w:numPr>
          <w:ilvl w:val="0"/>
          <w:numId w:val="6"/>
        </w:numPr>
        <w:spacing w:before="0" w:after="0"/>
        <w:ind w:left="426"/>
        <w:rPr>
          <w:rFonts w:cstheme="majorHAnsi"/>
          <w:szCs w:val="22"/>
        </w:rPr>
      </w:pPr>
      <w:r w:rsidRPr="00390832">
        <w:rPr>
          <w:rFonts w:cstheme="majorHAnsi"/>
          <w:szCs w:val="22"/>
        </w:rPr>
        <w:t>Complete a final report, discussing each report with the pre-service teacher and if necessary, the Unit Coordinator.</w:t>
      </w:r>
    </w:p>
    <w:p w14:paraId="361977FE" w14:textId="77777777" w:rsidR="00721548" w:rsidRPr="00DB1541" w:rsidRDefault="00721548" w:rsidP="00721548">
      <w:pPr>
        <w:pStyle w:val="ListParagraph"/>
        <w:spacing w:before="0" w:after="0"/>
        <w:ind w:left="1080"/>
        <w:rPr>
          <w:rFonts w:asciiTheme="minorHAnsi" w:hAnsiTheme="minorHAnsi" w:cstheme="minorHAnsi"/>
          <w:sz w:val="24"/>
        </w:rPr>
      </w:pPr>
    </w:p>
    <w:p w14:paraId="456BB32E" w14:textId="75A8B75D" w:rsidR="00C159F7" w:rsidRPr="00390832" w:rsidRDefault="00C159F7" w:rsidP="00390832">
      <w:pPr>
        <w:ind w:left="-567"/>
        <w:rPr>
          <w:rFonts w:cstheme="majorHAnsi"/>
          <w:szCs w:val="22"/>
        </w:rPr>
      </w:pPr>
      <w:r w:rsidRPr="00390832">
        <w:rPr>
          <w:rFonts w:cstheme="majorHAnsi"/>
          <w:szCs w:val="22"/>
        </w:rPr>
        <w:t xml:space="preserve">Online training modules are provided by the Australian Institute of Teaching and School Leadership, for those new to the role of a mentor teacher. Please access the training modules at: </w:t>
      </w:r>
      <w:hyperlink r:id="rId13" w:history="1">
        <w:r w:rsidRPr="005D0BAA">
          <w:rPr>
            <w:rStyle w:val="Hyperlink"/>
            <w:sz w:val="22"/>
            <w:szCs w:val="22"/>
          </w:rPr>
          <w:t>https://www.aitsl.edu.au/tools-resources/resource/supervising-pre-service-teachers</w:t>
        </w:r>
      </w:hyperlink>
      <w:r w:rsidR="005D0BAA">
        <w:rPr>
          <w:rFonts w:cstheme="majorHAnsi"/>
          <w:color w:val="0000FF"/>
          <w:szCs w:val="22"/>
        </w:rPr>
        <w:t xml:space="preserve"> </w:t>
      </w:r>
      <w:r w:rsidR="00721548" w:rsidRPr="00390832">
        <w:rPr>
          <w:rFonts w:cstheme="majorHAnsi"/>
          <w:color w:val="0000FF"/>
          <w:szCs w:val="22"/>
        </w:rPr>
        <w:t xml:space="preserve"> </w:t>
      </w:r>
      <w:r w:rsidR="00237977" w:rsidRPr="00390832">
        <w:rPr>
          <w:rFonts w:cstheme="majorHAnsi"/>
          <w:szCs w:val="22"/>
        </w:rPr>
        <w:t xml:space="preserve"> </w:t>
      </w:r>
      <w:r w:rsidR="00221655" w:rsidRPr="00390832">
        <w:rPr>
          <w:rFonts w:cstheme="majorHAnsi"/>
          <w:szCs w:val="22"/>
        </w:rPr>
        <w:t xml:space="preserve"> </w:t>
      </w:r>
    </w:p>
    <w:p w14:paraId="2923772D" w14:textId="77777777" w:rsidR="00FB2838" w:rsidRDefault="00FB2838" w:rsidP="00661DE7">
      <w:pPr>
        <w:spacing w:before="60" w:after="60"/>
        <w:ind w:left="-567"/>
        <w:rPr>
          <w:rStyle w:val="Heading2Char"/>
        </w:rPr>
      </w:pPr>
    </w:p>
    <w:p w14:paraId="5A1B69BE" w14:textId="73BCB2C7" w:rsidR="00D93885" w:rsidRPr="00661DE7" w:rsidRDefault="00D93885" w:rsidP="00661DE7">
      <w:pPr>
        <w:spacing w:before="60" w:after="60"/>
        <w:ind w:left="-567"/>
        <w:rPr>
          <w:rStyle w:val="Heading2Char"/>
        </w:rPr>
      </w:pPr>
      <w:r w:rsidRPr="00661DE7">
        <w:rPr>
          <w:rStyle w:val="Heading2Char"/>
        </w:rPr>
        <w:t xml:space="preserve">Mentor Teacher Feedback </w:t>
      </w:r>
    </w:p>
    <w:p w14:paraId="68B47790" w14:textId="5F6D9177" w:rsidR="00D93885" w:rsidRPr="00390832" w:rsidRDefault="00D93885" w:rsidP="00661DE7">
      <w:pPr>
        <w:spacing w:after="240"/>
        <w:ind w:left="-567"/>
        <w:rPr>
          <w:rFonts w:cstheme="majorHAnsi"/>
          <w:szCs w:val="22"/>
        </w:rPr>
      </w:pPr>
      <w:r w:rsidRPr="00390832">
        <w:rPr>
          <w:rFonts w:cstheme="majorHAnsi"/>
          <w:szCs w:val="22"/>
        </w:rPr>
        <w:t>The Mentor teacher provides regular written and verbal feedback and guidance throughout the entire block of professional experience. Templates for written feedback are available here:</w:t>
      </w:r>
      <w:r w:rsidRPr="00390832">
        <w:rPr>
          <w:rStyle w:val="Hyperlink"/>
          <w:rFonts w:cstheme="majorHAnsi"/>
          <w:sz w:val="22"/>
          <w:szCs w:val="22"/>
        </w:rPr>
        <w:t xml:space="preserve"> </w:t>
      </w:r>
      <w:hyperlink r:id="rId14" w:history="1">
        <w:r w:rsidR="005D0BAA" w:rsidRPr="000951E6">
          <w:rPr>
            <w:rStyle w:val="Hyperlink"/>
            <w:sz w:val="22"/>
          </w:rPr>
          <w:t>https://www.cdu.edu.au/arts-society/education/inschool-education-placements/templates-observing-planning-reflection</w:t>
        </w:r>
      </w:hyperlink>
      <w:r w:rsidR="005D0BAA">
        <w:t xml:space="preserve"> </w:t>
      </w:r>
      <w:r w:rsidR="00721548" w:rsidRPr="00390832">
        <w:rPr>
          <w:rStyle w:val="Hyperlink"/>
          <w:rFonts w:cstheme="majorHAnsi"/>
          <w:color w:val="0000FF"/>
          <w:sz w:val="22"/>
          <w:szCs w:val="22"/>
        </w:rPr>
        <w:t xml:space="preserve"> </w:t>
      </w:r>
    </w:p>
    <w:p w14:paraId="1591055B" w14:textId="495C5B9D" w:rsidR="00221655" w:rsidRPr="00661DE7" w:rsidRDefault="00221655" w:rsidP="00661DE7">
      <w:pPr>
        <w:spacing w:before="60" w:after="60"/>
        <w:ind w:left="-567"/>
        <w:rPr>
          <w:rStyle w:val="Heading2Char"/>
        </w:rPr>
      </w:pPr>
      <w:r w:rsidRPr="00661DE7">
        <w:rPr>
          <w:rStyle w:val="Heading2Char"/>
        </w:rPr>
        <w:t xml:space="preserve">Mentor Teacher Payment </w:t>
      </w:r>
    </w:p>
    <w:p w14:paraId="7787298E" w14:textId="01961BB3" w:rsidR="00221655" w:rsidRPr="00390832" w:rsidRDefault="00221655" w:rsidP="00661DE7">
      <w:pPr>
        <w:spacing w:after="240"/>
        <w:ind w:left="-567"/>
        <w:rPr>
          <w:rFonts w:cstheme="majorHAnsi"/>
          <w:b/>
          <w:bCs/>
          <w:szCs w:val="22"/>
        </w:rPr>
      </w:pPr>
      <w:r w:rsidRPr="00390832">
        <w:rPr>
          <w:rFonts w:cstheme="majorHAnsi"/>
          <w:szCs w:val="22"/>
        </w:rPr>
        <w:t xml:space="preserve">Payment information, forms and submission information is here: </w:t>
      </w:r>
      <w:hyperlink r:id="rId15" w:history="1">
        <w:r w:rsidR="00721548" w:rsidRPr="00390832">
          <w:rPr>
            <w:rStyle w:val="Hyperlink"/>
            <w:rFonts w:cstheme="majorHAnsi"/>
            <w:sz w:val="22"/>
            <w:szCs w:val="22"/>
          </w:rPr>
          <w:t>https://www.cdu.edu.au/arts-society/education/inschool-education-placements/mentor-information</w:t>
        </w:r>
      </w:hyperlink>
      <w:r w:rsidR="00721548" w:rsidRPr="00390832">
        <w:rPr>
          <w:rFonts w:cstheme="majorHAnsi"/>
          <w:szCs w:val="22"/>
        </w:rPr>
        <w:t xml:space="preserve"> </w:t>
      </w:r>
      <w:r w:rsidR="004A42B9" w:rsidRPr="00390832">
        <w:rPr>
          <w:rFonts w:cstheme="majorHAnsi"/>
          <w:szCs w:val="22"/>
        </w:rPr>
        <w:t xml:space="preserve"> </w:t>
      </w:r>
    </w:p>
    <w:p w14:paraId="47E792F6" w14:textId="4EE8072D" w:rsidR="00EE3EC7" w:rsidRPr="00661DE7" w:rsidRDefault="00EE3EC7" w:rsidP="00661DE7">
      <w:pPr>
        <w:spacing w:before="60" w:after="60"/>
        <w:ind w:left="-567"/>
        <w:rPr>
          <w:rStyle w:val="Heading2Char"/>
        </w:rPr>
      </w:pPr>
      <w:r w:rsidRPr="00661DE7">
        <w:rPr>
          <w:rStyle w:val="Heading2Char"/>
        </w:rPr>
        <w:lastRenderedPageBreak/>
        <w:t xml:space="preserve">Placement </w:t>
      </w:r>
      <w:r w:rsidR="00DB1541" w:rsidRPr="00661DE7">
        <w:rPr>
          <w:rStyle w:val="Heading2Char"/>
        </w:rPr>
        <w:t>C</w:t>
      </w:r>
      <w:r w:rsidRPr="00661DE7">
        <w:rPr>
          <w:rStyle w:val="Heading2Char"/>
        </w:rPr>
        <w:t xml:space="preserve">oncern </w:t>
      </w:r>
      <w:r w:rsidR="00DB1541" w:rsidRPr="00661DE7">
        <w:rPr>
          <w:rStyle w:val="Heading2Char"/>
        </w:rPr>
        <w:t>P</w:t>
      </w:r>
      <w:r w:rsidRPr="00661DE7">
        <w:rPr>
          <w:rStyle w:val="Heading2Char"/>
        </w:rPr>
        <w:t>rocedures</w:t>
      </w:r>
    </w:p>
    <w:p w14:paraId="3700DEE4" w14:textId="41C18699" w:rsidR="00EE3EC7" w:rsidRDefault="00EE3EC7" w:rsidP="00661DE7">
      <w:pPr>
        <w:spacing w:after="240"/>
        <w:ind w:left="-567"/>
        <w:rPr>
          <w:rFonts w:cstheme="majorHAnsi"/>
          <w:color w:val="0000FF"/>
          <w:szCs w:val="22"/>
        </w:rPr>
      </w:pPr>
      <w:r w:rsidRPr="00390832">
        <w:rPr>
          <w:rFonts w:cstheme="majorHAnsi"/>
          <w:szCs w:val="22"/>
        </w:rPr>
        <w:t xml:space="preserve">It is in the best interests of the pre-service teacher (PST), the mentor teacher and the students that any concerns regarding the PST’s conduct or competence be addressed as soon as possible. Should the mentor have concerns about a PST’s progress at any stage in the placement, the principal/director, the PST and, in the cases of Levels 2 and 3, the CDU Unit Coordinator should be notified. The CDU Director of Professional Experience </w:t>
      </w:r>
      <w:hyperlink r:id="rId16" w:history="1">
        <w:r w:rsidR="00721548" w:rsidRPr="00390832">
          <w:rPr>
            <w:rFonts w:cstheme="majorHAnsi"/>
            <w:szCs w:val="22"/>
          </w:rPr>
          <w:t>Lisa.Papatraianou@cdu.edu.au</w:t>
        </w:r>
      </w:hyperlink>
      <w:r w:rsidR="00721548" w:rsidRPr="00390832">
        <w:rPr>
          <w:rFonts w:cstheme="majorHAnsi"/>
          <w:color w:val="323130"/>
          <w:szCs w:val="22"/>
          <w:shd w:val="clear" w:color="auto" w:fill="FFFFFF"/>
        </w:rPr>
        <w:t xml:space="preserve"> </w:t>
      </w:r>
      <w:r w:rsidRPr="00390832">
        <w:rPr>
          <w:rFonts w:cstheme="majorHAnsi"/>
          <w:szCs w:val="22"/>
        </w:rPr>
        <w:t xml:space="preserve">should also be notified in cases of Level 3 and any early cessation of placement. Information is here: </w:t>
      </w:r>
      <w:hyperlink r:id="rId17" w:history="1">
        <w:r w:rsidR="00721548" w:rsidRPr="00390832">
          <w:rPr>
            <w:rStyle w:val="Hyperlink"/>
            <w:rFonts w:cstheme="majorHAnsi"/>
            <w:sz w:val="22"/>
            <w:szCs w:val="22"/>
          </w:rPr>
          <w:t>https://www.cdu.edu.au/arts-society/education/inschool-education-placements/concerns-during-placement</w:t>
        </w:r>
      </w:hyperlink>
      <w:r w:rsidRPr="00390832">
        <w:rPr>
          <w:rFonts w:cstheme="majorHAnsi"/>
          <w:color w:val="0000FF"/>
          <w:szCs w:val="22"/>
        </w:rPr>
        <w:t>.</w:t>
      </w:r>
    </w:p>
    <w:p w14:paraId="78D9CA9E" w14:textId="760DE2E4" w:rsidR="00756A81" w:rsidRPr="00661DE7" w:rsidRDefault="00756A81" w:rsidP="00661DE7">
      <w:pPr>
        <w:spacing w:before="60" w:after="60"/>
        <w:ind w:left="-567"/>
        <w:rPr>
          <w:rStyle w:val="Heading2Char"/>
        </w:rPr>
      </w:pPr>
      <w:r w:rsidRPr="00661DE7">
        <w:rPr>
          <w:rStyle w:val="Heading2Char"/>
        </w:rPr>
        <w:t xml:space="preserve">Assessment </w:t>
      </w:r>
      <w:r w:rsidR="00DB1541" w:rsidRPr="00661DE7">
        <w:rPr>
          <w:rStyle w:val="Heading2Char"/>
        </w:rPr>
        <w:t>T</w:t>
      </w:r>
      <w:r w:rsidRPr="00661DE7">
        <w:rPr>
          <w:rStyle w:val="Heading2Char"/>
        </w:rPr>
        <w:t xml:space="preserve">asks for this </w:t>
      </w:r>
      <w:r w:rsidR="00DB1541" w:rsidRPr="00661DE7">
        <w:rPr>
          <w:rStyle w:val="Heading2Char"/>
        </w:rPr>
        <w:t>P</w:t>
      </w:r>
      <w:r w:rsidRPr="00661DE7">
        <w:rPr>
          <w:rStyle w:val="Heading2Char"/>
        </w:rPr>
        <w:t>lacement</w:t>
      </w:r>
    </w:p>
    <w:p w14:paraId="42EEBB03" w14:textId="1559DF09" w:rsidR="004A42B9" w:rsidRPr="00390832" w:rsidRDefault="004A42B9" w:rsidP="00390832">
      <w:pPr>
        <w:ind w:left="-567"/>
        <w:rPr>
          <w:rFonts w:cstheme="majorHAnsi"/>
          <w:szCs w:val="22"/>
        </w:rPr>
      </w:pPr>
      <w:r w:rsidRPr="00390832">
        <w:rPr>
          <w:rFonts w:cstheme="majorHAnsi"/>
          <w:szCs w:val="22"/>
        </w:rPr>
        <w:t>Professional experience is a significant component of pre-service teachers’ preparation</w:t>
      </w:r>
      <w:r w:rsidR="00721548" w:rsidRPr="00390832">
        <w:rPr>
          <w:rFonts w:cstheme="majorHAnsi"/>
          <w:szCs w:val="22"/>
        </w:rPr>
        <w:t>.</w:t>
      </w:r>
      <w:r w:rsidRPr="00390832">
        <w:rPr>
          <w:rFonts w:cstheme="majorHAnsi"/>
          <w:szCs w:val="22"/>
        </w:rPr>
        <w:t xml:space="preserve"> </w:t>
      </w:r>
    </w:p>
    <w:p w14:paraId="277EB4E7" w14:textId="1ED23896" w:rsidR="004A42B9" w:rsidRPr="00390832" w:rsidRDefault="004A42B9" w:rsidP="00661DE7">
      <w:pPr>
        <w:spacing w:after="240"/>
        <w:ind w:left="-567"/>
        <w:rPr>
          <w:rFonts w:cstheme="majorHAnsi"/>
          <w:szCs w:val="22"/>
        </w:rPr>
      </w:pPr>
      <w:r w:rsidRPr="00390832">
        <w:rPr>
          <w:rFonts w:cstheme="majorHAnsi"/>
          <w:szCs w:val="22"/>
        </w:rPr>
        <w:t xml:space="preserve">The significance of professionally engaging with colleagues, parents/carers and the community, evidence-based practice and determining quality evidence are also key components of this placement. There are four assessment elements </w:t>
      </w:r>
      <w:r w:rsidR="00721548" w:rsidRPr="00390832">
        <w:rPr>
          <w:rFonts w:cstheme="majorHAnsi"/>
          <w:szCs w:val="22"/>
        </w:rPr>
        <w:t xml:space="preserve">of </w:t>
      </w:r>
      <w:r w:rsidR="00F96CC8" w:rsidRPr="00390832">
        <w:rPr>
          <w:rFonts w:cstheme="majorHAnsi"/>
          <w:szCs w:val="22"/>
        </w:rPr>
        <w:t>the A</w:t>
      </w:r>
      <w:r w:rsidR="00392FE7" w:rsidRPr="00390832">
        <w:rPr>
          <w:rFonts w:cstheme="majorHAnsi"/>
          <w:szCs w:val="22"/>
        </w:rPr>
        <w:t>fGT</w:t>
      </w:r>
      <w:r w:rsidR="00F96CC8" w:rsidRPr="00390832">
        <w:rPr>
          <w:rFonts w:cstheme="majorHAnsi"/>
          <w:szCs w:val="22"/>
        </w:rPr>
        <w:t xml:space="preserve"> that pre-service teachers must address, three of which are </w:t>
      </w:r>
      <w:r w:rsidRPr="00390832">
        <w:rPr>
          <w:rFonts w:cstheme="majorHAnsi"/>
          <w:szCs w:val="22"/>
        </w:rPr>
        <w:t>related to this professional placement</w:t>
      </w:r>
      <w:r w:rsidR="00721548" w:rsidRPr="00390832">
        <w:rPr>
          <w:rFonts w:cstheme="majorHAnsi"/>
          <w:szCs w:val="22"/>
        </w:rPr>
        <w:t>. P</w:t>
      </w:r>
      <w:r w:rsidR="00F96CC8" w:rsidRPr="00390832">
        <w:rPr>
          <w:rFonts w:cstheme="majorHAnsi"/>
          <w:szCs w:val="22"/>
        </w:rPr>
        <w:t>re-service teachers are required to collect evidence as part of this placement to complete the requirements of the A</w:t>
      </w:r>
      <w:r w:rsidR="00392FE7" w:rsidRPr="00390832">
        <w:rPr>
          <w:rFonts w:cstheme="majorHAnsi"/>
          <w:szCs w:val="22"/>
        </w:rPr>
        <w:t>fGT.</w:t>
      </w:r>
    </w:p>
    <w:p w14:paraId="29EAC847" w14:textId="051EC1F6" w:rsidR="00756A81" w:rsidRPr="00661DE7" w:rsidRDefault="00756A81" w:rsidP="00661DE7">
      <w:pPr>
        <w:spacing w:before="60" w:after="60"/>
        <w:ind w:left="-567"/>
        <w:rPr>
          <w:rStyle w:val="Heading2Char"/>
        </w:rPr>
      </w:pPr>
      <w:r w:rsidRPr="00661DE7">
        <w:rPr>
          <w:rStyle w:val="Heading2Char"/>
        </w:rPr>
        <w:t xml:space="preserve">Mentor Teacher Reports </w:t>
      </w:r>
    </w:p>
    <w:p w14:paraId="2F120B69" w14:textId="28F24EC9" w:rsidR="00756A81" w:rsidRPr="00390832" w:rsidRDefault="00756A81" w:rsidP="00390832">
      <w:pPr>
        <w:ind w:left="-567"/>
        <w:rPr>
          <w:rFonts w:cstheme="majorHAnsi"/>
          <w:szCs w:val="22"/>
        </w:rPr>
      </w:pPr>
      <w:r w:rsidRPr="00390832">
        <w:rPr>
          <w:rFonts w:cstheme="majorHAnsi"/>
          <w:szCs w:val="22"/>
        </w:rPr>
        <w:t>Two reports are required to be completed by the mentor teacher</w:t>
      </w:r>
      <w:r w:rsidR="00221655" w:rsidRPr="00390832">
        <w:rPr>
          <w:rFonts w:cstheme="majorHAnsi"/>
          <w:szCs w:val="22"/>
        </w:rPr>
        <w:t>:</w:t>
      </w:r>
      <w:r w:rsidRPr="00390832">
        <w:rPr>
          <w:rFonts w:cstheme="majorHAnsi"/>
          <w:szCs w:val="22"/>
        </w:rPr>
        <w:t xml:space="preserve"> an interim report and </w:t>
      </w:r>
      <w:r w:rsidR="00E82169" w:rsidRPr="00390832">
        <w:rPr>
          <w:rFonts w:cstheme="majorHAnsi"/>
          <w:szCs w:val="22"/>
        </w:rPr>
        <w:t xml:space="preserve">a </w:t>
      </w:r>
      <w:r w:rsidRPr="00390832">
        <w:rPr>
          <w:rFonts w:cstheme="majorHAnsi"/>
          <w:szCs w:val="22"/>
        </w:rPr>
        <w:t>final report. The performance descriptors provide a guide for each of performance level under the three domains of the Graduate Teacher Standards.</w:t>
      </w:r>
    </w:p>
    <w:p w14:paraId="41ED9E4A" w14:textId="77777777" w:rsidR="00721548" w:rsidRPr="00390832" w:rsidRDefault="00721548" w:rsidP="00390832">
      <w:pPr>
        <w:ind w:left="-567"/>
        <w:rPr>
          <w:rStyle w:val="IntenseEmphasis"/>
          <w:rFonts w:cstheme="majorHAnsi"/>
          <w:i w:val="0"/>
          <w:iCs w:val="0"/>
          <w:szCs w:val="22"/>
        </w:rPr>
      </w:pPr>
    </w:p>
    <w:p w14:paraId="624C76C9" w14:textId="400CB0F6" w:rsidR="00756A81" w:rsidRPr="00390832" w:rsidRDefault="00756A81" w:rsidP="00390832">
      <w:pPr>
        <w:ind w:left="-567"/>
        <w:rPr>
          <w:rStyle w:val="IntenseEmphasis"/>
          <w:rFonts w:cstheme="majorHAnsi"/>
          <w:i w:val="0"/>
          <w:iCs w:val="0"/>
          <w:szCs w:val="22"/>
        </w:rPr>
      </w:pPr>
      <w:r w:rsidRPr="00390832">
        <w:rPr>
          <w:rStyle w:val="IntenseEmphasis"/>
          <w:rFonts w:cstheme="majorHAnsi"/>
          <w:i w:val="0"/>
          <w:iCs w:val="0"/>
          <w:szCs w:val="22"/>
        </w:rPr>
        <w:t>Interim Report</w:t>
      </w:r>
    </w:p>
    <w:p w14:paraId="64798FEB" w14:textId="66585EF7" w:rsidR="002E72B6" w:rsidRPr="00390832" w:rsidRDefault="00756A81" w:rsidP="00390832">
      <w:pPr>
        <w:ind w:left="-567"/>
        <w:rPr>
          <w:rFonts w:cstheme="majorHAnsi"/>
          <w:szCs w:val="22"/>
        </w:rPr>
      </w:pPr>
      <w:r w:rsidRPr="00390832">
        <w:rPr>
          <w:rFonts w:cstheme="majorHAnsi"/>
          <w:szCs w:val="22"/>
        </w:rPr>
        <w:t xml:space="preserve">The Interim Report is completed by the mentor teachers during the </w:t>
      </w:r>
      <w:r w:rsidR="005F2648" w:rsidRPr="00390832">
        <w:rPr>
          <w:rFonts w:cstheme="majorHAnsi"/>
          <w:szCs w:val="22"/>
        </w:rPr>
        <w:t>third</w:t>
      </w:r>
      <w:r w:rsidRPr="00390832">
        <w:rPr>
          <w:rFonts w:cstheme="majorHAnsi"/>
          <w:szCs w:val="22"/>
        </w:rPr>
        <w:t xml:space="preserve"> week of placement. The pre-service teacher and mentor teacher discuss the report and set goals for the remainder of the placement. The Interim Report needs to be discussed with the pre-service teacher so that any concerns can be addressed before the final report is written. If there are any concerns regarding the pre-service teacher’s progress</w:t>
      </w:r>
      <w:r w:rsidR="00721548" w:rsidRPr="00390832">
        <w:rPr>
          <w:rFonts w:cstheme="majorHAnsi"/>
          <w:szCs w:val="22"/>
        </w:rPr>
        <w:t>,</w:t>
      </w:r>
      <w:r w:rsidRPr="00390832">
        <w:rPr>
          <w:rFonts w:cstheme="majorHAnsi"/>
          <w:szCs w:val="22"/>
        </w:rPr>
        <w:t xml:space="preserve"> the mentor teacher needs to contact the Unit Coordinator. </w:t>
      </w:r>
    </w:p>
    <w:p w14:paraId="04C0D82E" w14:textId="77777777" w:rsidR="002303BB" w:rsidRPr="00390832" w:rsidRDefault="002303BB" w:rsidP="00390832">
      <w:pPr>
        <w:ind w:left="-567"/>
        <w:rPr>
          <w:rFonts w:cstheme="majorHAnsi"/>
          <w:szCs w:val="22"/>
        </w:rPr>
      </w:pPr>
    </w:p>
    <w:p w14:paraId="1792CB4E" w14:textId="28948330" w:rsidR="00EE3EC7" w:rsidRPr="00390832" w:rsidRDefault="00EE3EC7" w:rsidP="00390832">
      <w:pPr>
        <w:spacing w:before="60" w:after="60"/>
        <w:ind w:left="-567"/>
        <w:rPr>
          <w:rFonts w:cstheme="majorHAnsi"/>
          <w:b/>
          <w:bCs/>
          <w:szCs w:val="22"/>
        </w:rPr>
      </w:pPr>
      <w:r w:rsidRPr="00390832">
        <w:rPr>
          <w:rFonts w:cstheme="majorHAnsi"/>
          <w:b/>
          <w:bCs/>
          <w:szCs w:val="22"/>
        </w:rPr>
        <w:t xml:space="preserve">Targeted Support </w:t>
      </w:r>
    </w:p>
    <w:p w14:paraId="545E3E55" w14:textId="0471C28A" w:rsidR="002E72B6" w:rsidRPr="00390832" w:rsidRDefault="00EE3EC7" w:rsidP="00390832">
      <w:pPr>
        <w:spacing w:before="60" w:after="60"/>
        <w:ind w:left="-567"/>
        <w:rPr>
          <w:rFonts w:cstheme="majorHAnsi"/>
          <w:szCs w:val="22"/>
        </w:rPr>
      </w:pPr>
      <w:r w:rsidRPr="00390832">
        <w:rPr>
          <w:rFonts w:cstheme="majorHAnsi"/>
          <w:szCs w:val="22"/>
        </w:rPr>
        <w:t xml:space="preserve">Pre-service teachers need to be at a ‘proficient’ or at the ‘developing’ performance levels in all areas to pass this placement. If one or more focus areas is rated ‘unsatisfactory’ or ‘limited opportunities’ at the interim report stage, the CDU targeted support plan </w:t>
      </w:r>
      <w:r w:rsidR="00E82169" w:rsidRPr="00390832">
        <w:rPr>
          <w:rFonts w:cstheme="majorHAnsi"/>
          <w:szCs w:val="22"/>
        </w:rPr>
        <w:t xml:space="preserve">should </w:t>
      </w:r>
      <w:r w:rsidRPr="00390832">
        <w:rPr>
          <w:rFonts w:cstheme="majorHAnsi"/>
          <w:szCs w:val="22"/>
        </w:rPr>
        <w:t xml:space="preserve">be implemented: </w:t>
      </w:r>
      <w:hyperlink r:id="rId18" w:history="1">
        <w:r w:rsidR="00721548" w:rsidRPr="00390832">
          <w:rPr>
            <w:rStyle w:val="Hyperlink"/>
            <w:rFonts w:cstheme="majorHAnsi"/>
            <w:sz w:val="22"/>
            <w:szCs w:val="22"/>
          </w:rPr>
          <w:t>https://www.cdu.edu.au/arts-society/education/inschool-education-placements/concerns-during-placement</w:t>
        </w:r>
      </w:hyperlink>
      <w:r w:rsidR="00721548" w:rsidRPr="00390832">
        <w:rPr>
          <w:rFonts w:cstheme="majorHAnsi"/>
          <w:szCs w:val="22"/>
        </w:rPr>
        <w:t xml:space="preserve"> </w:t>
      </w:r>
      <w:r w:rsidRPr="00390832">
        <w:rPr>
          <w:rFonts w:cstheme="majorHAnsi"/>
          <w:color w:val="0000FF"/>
          <w:szCs w:val="22"/>
        </w:rPr>
        <w:t xml:space="preserve">. </w:t>
      </w:r>
      <w:r w:rsidR="00930658" w:rsidRPr="00390832">
        <w:rPr>
          <w:rFonts w:cstheme="majorHAnsi"/>
          <w:szCs w:val="22"/>
        </w:rPr>
        <w:t xml:space="preserve"> </w:t>
      </w:r>
    </w:p>
    <w:p w14:paraId="1A7BEBF1" w14:textId="77777777" w:rsidR="002303BB" w:rsidRPr="00390832" w:rsidRDefault="002303BB" w:rsidP="00390832">
      <w:pPr>
        <w:spacing w:before="60" w:after="60"/>
        <w:ind w:left="-567"/>
        <w:rPr>
          <w:rStyle w:val="IntenseEmphasis"/>
          <w:rFonts w:cstheme="majorHAnsi"/>
          <w:b w:val="0"/>
          <w:i w:val="0"/>
          <w:iCs w:val="0"/>
          <w:szCs w:val="22"/>
        </w:rPr>
      </w:pPr>
    </w:p>
    <w:p w14:paraId="091EE0CD" w14:textId="3FD11D4F" w:rsidR="00756A81" w:rsidRPr="00390832" w:rsidRDefault="00756A81" w:rsidP="00390832">
      <w:pPr>
        <w:ind w:left="-567"/>
        <w:rPr>
          <w:rStyle w:val="IntenseEmphasis"/>
          <w:rFonts w:cstheme="majorHAnsi"/>
          <w:i w:val="0"/>
          <w:iCs w:val="0"/>
          <w:szCs w:val="22"/>
        </w:rPr>
      </w:pPr>
      <w:r w:rsidRPr="00390832">
        <w:rPr>
          <w:rStyle w:val="IntenseEmphasis"/>
          <w:rFonts w:cstheme="majorHAnsi"/>
          <w:i w:val="0"/>
          <w:iCs w:val="0"/>
          <w:szCs w:val="22"/>
        </w:rPr>
        <w:t>Final Report</w:t>
      </w:r>
    </w:p>
    <w:p w14:paraId="61320D45" w14:textId="28B9420C" w:rsidR="003E3336" w:rsidRDefault="00D93885" w:rsidP="00390832">
      <w:pPr>
        <w:spacing w:before="60" w:after="60"/>
        <w:ind w:left="-567"/>
        <w:rPr>
          <w:rFonts w:cstheme="majorHAnsi"/>
          <w:szCs w:val="22"/>
        </w:rPr>
      </w:pPr>
      <w:r w:rsidRPr="00390832">
        <w:rPr>
          <w:rFonts w:cstheme="majorHAnsi"/>
          <w:szCs w:val="22"/>
        </w:rPr>
        <w:t>During the final week of</w:t>
      </w:r>
      <w:r w:rsidR="00756A81" w:rsidRPr="00390832">
        <w:rPr>
          <w:rFonts w:cstheme="majorHAnsi"/>
          <w:szCs w:val="22"/>
        </w:rPr>
        <w:t xml:space="preserve"> the placement, the mentor teacher completes the final report. This report provides an assessment of performance in a number of key teaching standards and needs to be completed </w:t>
      </w:r>
      <w:r w:rsidRPr="00390832">
        <w:rPr>
          <w:rFonts w:cstheme="majorHAnsi"/>
          <w:szCs w:val="22"/>
        </w:rPr>
        <w:t xml:space="preserve">on the final day of the placement and provided to the </w:t>
      </w:r>
      <w:r w:rsidR="00721548" w:rsidRPr="00390832">
        <w:rPr>
          <w:rFonts w:cstheme="majorHAnsi"/>
          <w:szCs w:val="22"/>
        </w:rPr>
        <w:t>pre-service</w:t>
      </w:r>
      <w:r w:rsidRPr="00390832">
        <w:rPr>
          <w:rFonts w:cstheme="majorHAnsi"/>
          <w:szCs w:val="22"/>
        </w:rPr>
        <w:t xml:space="preserve"> teacher so </w:t>
      </w:r>
      <w:r w:rsidR="00E82169" w:rsidRPr="00390832">
        <w:rPr>
          <w:rFonts w:cstheme="majorHAnsi"/>
          <w:szCs w:val="22"/>
        </w:rPr>
        <w:t xml:space="preserve">it can be </w:t>
      </w:r>
      <w:r w:rsidRPr="00390832">
        <w:rPr>
          <w:rFonts w:cstheme="majorHAnsi"/>
          <w:szCs w:val="22"/>
        </w:rPr>
        <w:t>submit</w:t>
      </w:r>
      <w:r w:rsidR="00E82169" w:rsidRPr="00390832">
        <w:rPr>
          <w:rFonts w:cstheme="majorHAnsi"/>
          <w:szCs w:val="22"/>
        </w:rPr>
        <w:t xml:space="preserve">ted </w:t>
      </w:r>
      <w:r w:rsidRPr="00390832">
        <w:rPr>
          <w:rFonts w:cstheme="majorHAnsi"/>
          <w:szCs w:val="22"/>
        </w:rPr>
        <w:t>to the university</w:t>
      </w:r>
      <w:r w:rsidR="00E82169" w:rsidRPr="00390832">
        <w:rPr>
          <w:rFonts w:cstheme="majorHAnsi"/>
          <w:szCs w:val="22"/>
        </w:rPr>
        <w:t xml:space="preserve"> in a timely manner</w:t>
      </w:r>
      <w:r w:rsidR="00756A81" w:rsidRPr="00390832">
        <w:rPr>
          <w:rFonts w:cstheme="majorHAnsi"/>
          <w:szCs w:val="22"/>
        </w:rPr>
        <w:t>.</w:t>
      </w:r>
      <w:r w:rsidR="00721548" w:rsidRPr="00390832">
        <w:rPr>
          <w:rFonts w:cstheme="majorHAnsi"/>
          <w:szCs w:val="22"/>
        </w:rPr>
        <w:t xml:space="preserve"> </w:t>
      </w:r>
      <w:r w:rsidR="00756A81" w:rsidRPr="00390832">
        <w:rPr>
          <w:rFonts w:cstheme="majorHAnsi"/>
          <w:szCs w:val="22"/>
        </w:rPr>
        <w:t xml:space="preserve">The report indicates whether the pre-service teacher has </w:t>
      </w:r>
      <w:r w:rsidR="00E82169" w:rsidRPr="00390832">
        <w:rPr>
          <w:rFonts w:cstheme="majorHAnsi"/>
          <w:szCs w:val="22"/>
        </w:rPr>
        <w:t xml:space="preserve">demonstrated </w:t>
      </w:r>
      <w:r w:rsidR="00756A81" w:rsidRPr="00390832">
        <w:rPr>
          <w:rFonts w:cstheme="majorHAnsi"/>
          <w:szCs w:val="22"/>
        </w:rPr>
        <w:t xml:space="preserve">satisfactory skills during this professional placement. The </w:t>
      </w:r>
      <w:r w:rsidR="00E82169" w:rsidRPr="00390832">
        <w:rPr>
          <w:rFonts w:cstheme="majorHAnsi"/>
          <w:szCs w:val="22"/>
        </w:rPr>
        <w:t>F</w:t>
      </w:r>
      <w:r w:rsidR="00756A81" w:rsidRPr="00390832">
        <w:rPr>
          <w:rFonts w:cstheme="majorHAnsi"/>
          <w:szCs w:val="22"/>
        </w:rPr>
        <w:t>inal Report should be discussed with the pre-service teacher</w:t>
      </w:r>
      <w:r w:rsidR="00E82169" w:rsidRPr="00390832">
        <w:rPr>
          <w:rFonts w:cstheme="majorHAnsi"/>
          <w:szCs w:val="22"/>
        </w:rPr>
        <w:t xml:space="preserve"> and signed by both accordingly.</w:t>
      </w:r>
      <w:r w:rsidR="00756A81" w:rsidRPr="00390832">
        <w:rPr>
          <w:rFonts w:cstheme="majorHAnsi"/>
          <w:szCs w:val="22"/>
        </w:rPr>
        <w:t xml:space="preserve"> </w:t>
      </w:r>
    </w:p>
    <w:p w14:paraId="662799E7" w14:textId="77777777" w:rsidR="00661DE7" w:rsidRPr="00390832" w:rsidRDefault="00661DE7" w:rsidP="00390832">
      <w:pPr>
        <w:spacing w:before="60" w:after="60"/>
        <w:ind w:left="-567"/>
        <w:rPr>
          <w:rFonts w:cstheme="majorHAnsi"/>
          <w:szCs w:val="22"/>
        </w:rPr>
      </w:pPr>
    </w:p>
    <w:p w14:paraId="61F79F01" w14:textId="615CA07D" w:rsidR="00756A81" w:rsidRPr="00661DE7" w:rsidRDefault="00756A81" w:rsidP="00661DE7">
      <w:pPr>
        <w:spacing w:before="60" w:after="60"/>
        <w:ind w:left="-567"/>
        <w:rPr>
          <w:rStyle w:val="Heading2Char"/>
        </w:rPr>
      </w:pPr>
      <w:r w:rsidRPr="00661DE7">
        <w:rPr>
          <w:rStyle w:val="Heading2Char"/>
        </w:rPr>
        <w:t xml:space="preserve">Submission of </w:t>
      </w:r>
      <w:r w:rsidR="00E82169" w:rsidRPr="00661DE7">
        <w:rPr>
          <w:rStyle w:val="Heading2Char"/>
        </w:rPr>
        <w:t>R</w:t>
      </w:r>
      <w:r w:rsidRPr="00661DE7">
        <w:rPr>
          <w:rStyle w:val="Heading2Char"/>
        </w:rPr>
        <w:t xml:space="preserve">eports </w:t>
      </w:r>
    </w:p>
    <w:p w14:paraId="65DEB013" w14:textId="14DD7092" w:rsidR="002C661C" w:rsidRDefault="00E82169" w:rsidP="00390832">
      <w:pPr>
        <w:ind w:left="-567"/>
        <w:rPr>
          <w:rFonts w:cstheme="majorHAnsi"/>
          <w:szCs w:val="22"/>
        </w:rPr>
      </w:pPr>
      <w:r w:rsidRPr="00390832">
        <w:rPr>
          <w:rFonts w:cstheme="majorHAnsi"/>
          <w:szCs w:val="22"/>
        </w:rPr>
        <w:t>The signed reports are forwarded to the unit coordinator (</w:t>
      </w:r>
      <w:r w:rsidR="002C661C" w:rsidRPr="00390832">
        <w:rPr>
          <w:rFonts w:cstheme="majorHAnsi"/>
          <w:szCs w:val="22"/>
        </w:rPr>
        <w:t xml:space="preserve">with </w:t>
      </w:r>
      <w:r w:rsidRPr="00390832">
        <w:rPr>
          <w:rFonts w:cstheme="majorHAnsi"/>
          <w:szCs w:val="22"/>
        </w:rPr>
        <w:t xml:space="preserve">cc. to the </w:t>
      </w:r>
      <w:r w:rsidR="002C661C" w:rsidRPr="00390832">
        <w:rPr>
          <w:rFonts w:cstheme="majorHAnsi"/>
          <w:szCs w:val="22"/>
        </w:rPr>
        <w:t xml:space="preserve">mentor </w:t>
      </w:r>
      <w:r w:rsidRPr="00390832">
        <w:rPr>
          <w:rFonts w:cstheme="majorHAnsi"/>
          <w:szCs w:val="22"/>
        </w:rPr>
        <w:t xml:space="preserve">teacher </w:t>
      </w:r>
      <w:r w:rsidR="002C661C" w:rsidRPr="00390832">
        <w:rPr>
          <w:rFonts w:cstheme="majorHAnsi"/>
          <w:szCs w:val="22"/>
        </w:rPr>
        <w:t xml:space="preserve">using their </w:t>
      </w:r>
      <w:r w:rsidRPr="00390832">
        <w:rPr>
          <w:rFonts w:cstheme="majorHAnsi"/>
          <w:szCs w:val="22"/>
        </w:rPr>
        <w:t>work</w:t>
      </w:r>
      <w:r w:rsidR="002C661C" w:rsidRPr="00390832">
        <w:rPr>
          <w:rFonts w:cstheme="majorHAnsi"/>
          <w:szCs w:val="22"/>
        </w:rPr>
        <w:t xml:space="preserve"> email address</w:t>
      </w:r>
      <w:r w:rsidRPr="00390832">
        <w:rPr>
          <w:rFonts w:cstheme="majorHAnsi"/>
          <w:szCs w:val="22"/>
        </w:rPr>
        <w:t xml:space="preserve">) by the pre-service teacher.  This validates the </w:t>
      </w:r>
      <w:r w:rsidR="002C661C" w:rsidRPr="00390832">
        <w:rPr>
          <w:rFonts w:cstheme="majorHAnsi"/>
          <w:szCs w:val="22"/>
        </w:rPr>
        <w:t xml:space="preserve">authenticity </w:t>
      </w:r>
      <w:r w:rsidRPr="00390832">
        <w:rPr>
          <w:rFonts w:cstheme="majorHAnsi"/>
          <w:szCs w:val="22"/>
        </w:rPr>
        <w:t xml:space="preserve">of the reports </w:t>
      </w:r>
      <w:r w:rsidR="002C661C" w:rsidRPr="00390832">
        <w:rPr>
          <w:rFonts w:cstheme="majorHAnsi"/>
          <w:szCs w:val="22"/>
        </w:rPr>
        <w:t>and ensure</w:t>
      </w:r>
      <w:r w:rsidRPr="00390832">
        <w:rPr>
          <w:rFonts w:cstheme="majorHAnsi"/>
          <w:szCs w:val="22"/>
        </w:rPr>
        <w:t xml:space="preserve">s that </w:t>
      </w:r>
      <w:r w:rsidR="002C661C" w:rsidRPr="00390832">
        <w:rPr>
          <w:rFonts w:cstheme="majorHAnsi"/>
          <w:szCs w:val="22"/>
        </w:rPr>
        <w:t xml:space="preserve">the mentor </w:t>
      </w:r>
      <w:r w:rsidRPr="00390832">
        <w:rPr>
          <w:rFonts w:cstheme="majorHAnsi"/>
          <w:szCs w:val="22"/>
        </w:rPr>
        <w:t xml:space="preserve">teacher </w:t>
      </w:r>
      <w:r w:rsidR="002C661C" w:rsidRPr="00390832">
        <w:rPr>
          <w:rFonts w:cstheme="majorHAnsi"/>
          <w:szCs w:val="22"/>
        </w:rPr>
        <w:t>has direct email connection to the unit coordinator. The pre-service teacher is also required to submit their report</w:t>
      </w:r>
      <w:r w:rsidRPr="00390832">
        <w:rPr>
          <w:rFonts w:cstheme="majorHAnsi"/>
          <w:szCs w:val="22"/>
        </w:rPr>
        <w:t>s</w:t>
      </w:r>
      <w:r w:rsidR="002C661C" w:rsidRPr="00390832">
        <w:rPr>
          <w:rFonts w:cstheme="majorHAnsi"/>
          <w:szCs w:val="22"/>
        </w:rPr>
        <w:t xml:space="preserve"> via LearnLine</w:t>
      </w:r>
      <w:r w:rsidRPr="00390832">
        <w:rPr>
          <w:rFonts w:cstheme="majorHAnsi"/>
          <w:szCs w:val="22"/>
        </w:rPr>
        <w:t xml:space="preserve"> (CDU)</w:t>
      </w:r>
      <w:r w:rsidR="002C661C" w:rsidRPr="00390832">
        <w:rPr>
          <w:rFonts w:cstheme="majorHAnsi"/>
          <w:szCs w:val="22"/>
        </w:rPr>
        <w:t>.</w:t>
      </w:r>
      <w:r w:rsidRPr="00390832">
        <w:rPr>
          <w:rFonts w:cstheme="majorHAnsi"/>
          <w:szCs w:val="22"/>
        </w:rPr>
        <w:t xml:space="preserve">  Delays in processing reports may occur if this two-step process is not followed by the pre-service teacher.</w:t>
      </w:r>
    </w:p>
    <w:p w14:paraId="0E345980" w14:textId="77777777" w:rsidR="00661DE7" w:rsidRPr="00390832" w:rsidRDefault="00661DE7" w:rsidP="00390832">
      <w:pPr>
        <w:ind w:left="-567"/>
        <w:rPr>
          <w:rFonts w:cstheme="majorHAnsi"/>
          <w:szCs w:val="22"/>
        </w:rPr>
      </w:pPr>
    </w:p>
    <w:p w14:paraId="3E427E06" w14:textId="73F8275A" w:rsidR="00756A81" w:rsidRPr="00661DE7" w:rsidRDefault="00756A81" w:rsidP="00661DE7">
      <w:pPr>
        <w:spacing w:before="60" w:after="60"/>
        <w:ind w:left="-567"/>
        <w:rPr>
          <w:rStyle w:val="Heading2Char"/>
        </w:rPr>
      </w:pPr>
      <w:r w:rsidRPr="00661DE7">
        <w:rPr>
          <w:rStyle w:val="Heading2Char"/>
        </w:rPr>
        <w:t xml:space="preserve">Final Report Performance Descriptors </w:t>
      </w:r>
    </w:p>
    <w:p w14:paraId="1807E697" w14:textId="458EF215" w:rsidR="00396266" w:rsidRPr="00390832" w:rsidRDefault="00C05E0B" w:rsidP="00390832">
      <w:pPr>
        <w:spacing w:before="60" w:after="60"/>
        <w:ind w:left="-567"/>
        <w:rPr>
          <w:rFonts w:cstheme="majorHAnsi"/>
          <w:szCs w:val="22"/>
        </w:rPr>
      </w:pPr>
      <w:r w:rsidRPr="00390832">
        <w:rPr>
          <w:rFonts w:cstheme="majorHAnsi"/>
          <w:szCs w:val="22"/>
        </w:rPr>
        <w:t xml:space="preserve">The following descriptors are a guide when making judgements about a pre-service teacher’s performance during professional practice. These performance descriptors are aligned with the Australian Professional Standards for Teachers (APST) at the Graduate level (see </w:t>
      </w:r>
      <w:hyperlink r:id="rId19"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46A4E2EA" w14:textId="55EA80BE" w:rsidR="00756A81" w:rsidRPr="00390832" w:rsidRDefault="00756A81" w:rsidP="00390832">
      <w:pPr>
        <w:pStyle w:val="Heading2"/>
        <w:ind w:left="-567"/>
        <w:rPr>
          <w:rFonts w:asciiTheme="majorHAnsi" w:hAnsiTheme="majorHAnsi" w:cstheme="majorHAnsi"/>
          <w:sz w:val="22"/>
        </w:rPr>
      </w:pPr>
      <w:r w:rsidRPr="00390832">
        <w:rPr>
          <w:rFonts w:asciiTheme="majorHAnsi" w:hAnsiTheme="majorHAnsi" w:cstheme="majorHAnsi"/>
          <w:sz w:val="22"/>
        </w:rPr>
        <w:t xml:space="preserve">Report Performance Descriptors – Graduate Teacher </w:t>
      </w:r>
    </w:p>
    <w:tbl>
      <w:tblPr>
        <w:tblStyle w:val="TableGrid"/>
        <w:tblW w:w="10748" w:type="dxa"/>
        <w:tblInd w:w="-572" w:type="dxa"/>
        <w:tblLook w:val="04A0" w:firstRow="1" w:lastRow="0" w:firstColumn="1" w:lastColumn="0" w:noHBand="0" w:noVBand="1"/>
      </w:tblPr>
      <w:tblGrid>
        <w:gridCol w:w="1843"/>
        <w:gridCol w:w="8888"/>
        <w:gridCol w:w="17"/>
      </w:tblGrid>
      <w:tr w:rsidR="00756A81" w:rsidRPr="002303BB" w14:paraId="6A38F823" w14:textId="77777777" w:rsidTr="000C6C66">
        <w:tc>
          <w:tcPr>
            <w:tcW w:w="10748" w:type="dxa"/>
            <w:gridSpan w:val="3"/>
            <w:shd w:val="clear" w:color="auto" w:fill="002060"/>
          </w:tcPr>
          <w:p w14:paraId="3EA20F7D" w14:textId="77777777" w:rsidR="00756A81" w:rsidRPr="002303BB" w:rsidRDefault="00756A81" w:rsidP="002303BB">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756A81" w:rsidRPr="002303BB" w14:paraId="225058A2" w14:textId="77777777" w:rsidTr="000C6C66">
        <w:tc>
          <w:tcPr>
            <w:tcW w:w="10748" w:type="dxa"/>
            <w:gridSpan w:val="3"/>
            <w:shd w:val="clear" w:color="auto" w:fill="F8E4B5" w:themeFill="text2" w:themeFillTint="66"/>
          </w:tcPr>
          <w:p w14:paraId="26944CBB" w14:textId="77777777" w:rsidR="00756A81" w:rsidRPr="002303BB" w:rsidRDefault="00756A81" w:rsidP="002303BB">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756A81" w:rsidRPr="002303BB" w14:paraId="23D5675F" w14:textId="77777777" w:rsidTr="00F826AF">
        <w:trPr>
          <w:gridAfter w:val="1"/>
          <w:wAfter w:w="17" w:type="dxa"/>
        </w:trPr>
        <w:tc>
          <w:tcPr>
            <w:tcW w:w="1843" w:type="dxa"/>
            <w:vAlign w:val="center"/>
          </w:tcPr>
          <w:p w14:paraId="7F650940" w14:textId="77777777" w:rsidR="00756A81" w:rsidRPr="002303BB" w:rsidRDefault="00756A81" w:rsidP="00F826AF">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Proficient</w:t>
            </w:r>
          </w:p>
        </w:tc>
        <w:tc>
          <w:tcPr>
            <w:tcW w:w="8888" w:type="dxa"/>
          </w:tcPr>
          <w:p w14:paraId="6220EA9D" w14:textId="21E654E0" w:rsidR="00756A81" w:rsidRPr="002303BB" w:rsidRDefault="00C05E0B" w:rsidP="002303BB">
            <w:pPr>
              <w:spacing w:before="60" w:after="60"/>
              <w:rPr>
                <w:rFonts w:ascii="Calibri Light" w:hAnsi="Calibri Light" w:cs="Calibri Light"/>
                <w:szCs w:val="22"/>
              </w:rPr>
            </w:pPr>
            <w:r w:rsidRPr="002303BB">
              <w:rPr>
                <w:rFonts w:ascii="Calibri Light" w:hAnsi="Calibri Light" w:cs="Calibri Light"/>
                <w:szCs w:val="22"/>
              </w:rPr>
              <w:t>The pre-service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756A81" w:rsidRPr="002303BB" w14:paraId="0319F625" w14:textId="77777777" w:rsidTr="002C661C">
        <w:trPr>
          <w:gridAfter w:val="1"/>
          <w:wAfter w:w="17" w:type="dxa"/>
        </w:trPr>
        <w:tc>
          <w:tcPr>
            <w:tcW w:w="1843" w:type="dxa"/>
            <w:vAlign w:val="center"/>
          </w:tcPr>
          <w:p w14:paraId="4CEB7549" w14:textId="77777777" w:rsidR="00756A81" w:rsidRPr="002303BB" w:rsidRDefault="00756A81" w:rsidP="002303BB">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888" w:type="dxa"/>
          </w:tcPr>
          <w:p w14:paraId="7FFF602F" w14:textId="6F1C9BA9" w:rsidR="00756A81" w:rsidRPr="002303BB" w:rsidRDefault="00C05E0B" w:rsidP="002303BB">
            <w:pPr>
              <w:spacing w:before="60" w:after="60"/>
              <w:rPr>
                <w:rFonts w:ascii="Calibri Light" w:hAnsi="Calibri Light" w:cs="Calibri Light"/>
                <w:szCs w:val="22"/>
              </w:rPr>
            </w:pPr>
            <w:r w:rsidRPr="002303BB">
              <w:rPr>
                <w:rFonts w:ascii="Calibri Light" w:hAnsi="Calibri Light" w:cs="Calibri Light"/>
                <w:szCs w:val="22"/>
              </w:rPr>
              <w:t>The pre-service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756A81" w:rsidRPr="002303BB" w14:paraId="433CD064" w14:textId="77777777" w:rsidTr="002C661C">
        <w:trPr>
          <w:gridAfter w:val="1"/>
          <w:wAfter w:w="17" w:type="dxa"/>
        </w:trPr>
        <w:tc>
          <w:tcPr>
            <w:tcW w:w="1843" w:type="dxa"/>
            <w:vAlign w:val="center"/>
          </w:tcPr>
          <w:p w14:paraId="1604A1B7" w14:textId="517AF6D0" w:rsidR="00756A81" w:rsidRPr="002303BB" w:rsidRDefault="002C661C" w:rsidP="00DE331A">
            <w:pPr>
              <w:spacing w:before="60" w:after="60"/>
              <w:ind w:left="39"/>
              <w:rPr>
                <w:rFonts w:ascii="Calibri Light" w:hAnsi="Calibri Light" w:cs="Calibri Light"/>
                <w:b/>
                <w:bCs/>
                <w:szCs w:val="22"/>
              </w:rPr>
            </w:pPr>
            <w:r>
              <w:rPr>
                <w:rFonts w:ascii="Calibri Light" w:hAnsi="Calibri Light" w:cs="Calibri Light"/>
                <w:b/>
                <w:bCs/>
                <w:szCs w:val="22"/>
              </w:rPr>
              <w:t xml:space="preserve">Limited </w:t>
            </w:r>
            <w:r w:rsidR="00DE331A">
              <w:rPr>
                <w:rFonts w:ascii="Calibri Light" w:hAnsi="Calibri Light" w:cs="Calibri Light"/>
                <w:b/>
                <w:bCs/>
                <w:szCs w:val="22"/>
              </w:rPr>
              <w:t>Opportunities</w:t>
            </w:r>
          </w:p>
        </w:tc>
        <w:tc>
          <w:tcPr>
            <w:tcW w:w="8888" w:type="dxa"/>
          </w:tcPr>
          <w:p w14:paraId="4ABCACC5" w14:textId="77777777" w:rsidR="00756A81" w:rsidRPr="002303BB" w:rsidRDefault="00756A81" w:rsidP="002303BB">
            <w:pPr>
              <w:spacing w:before="60" w:after="60"/>
              <w:rPr>
                <w:rFonts w:ascii="Calibri Light" w:hAnsi="Calibri Light" w:cs="Calibri Light"/>
                <w:szCs w:val="22"/>
              </w:rPr>
            </w:pPr>
            <w:r w:rsidRPr="002303BB">
              <w:rPr>
                <w:rFonts w:ascii="Calibri Light" w:hAnsi="Calibri Light" w:cs="Calibri Light"/>
                <w:szCs w:val="22"/>
              </w:rPr>
              <w:t>The pre-service teacher has had limited opportunity to demonstrate skills or professional knowledge.</w:t>
            </w:r>
          </w:p>
        </w:tc>
      </w:tr>
      <w:tr w:rsidR="00756A81" w:rsidRPr="002303BB" w14:paraId="03ACB6D4" w14:textId="77777777" w:rsidTr="002C661C">
        <w:trPr>
          <w:gridAfter w:val="1"/>
          <w:wAfter w:w="17" w:type="dxa"/>
        </w:trPr>
        <w:tc>
          <w:tcPr>
            <w:tcW w:w="1843" w:type="dxa"/>
            <w:vAlign w:val="center"/>
          </w:tcPr>
          <w:p w14:paraId="0F136978" w14:textId="77777777" w:rsidR="00756A81" w:rsidRPr="002303BB" w:rsidRDefault="00756A81" w:rsidP="002303BB">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888" w:type="dxa"/>
          </w:tcPr>
          <w:p w14:paraId="76C1CB99" w14:textId="5EB7BADA" w:rsidR="00756A81" w:rsidRPr="002303BB" w:rsidRDefault="00C05E0B" w:rsidP="002303BB">
            <w:pPr>
              <w:spacing w:before="60" w:after="60"/>
              <w:rPr>
                <w:rFonts w:ascii="Calibri Light" w:hAnsi="Calibri Light" w:cs="Calibri Light"/>
                <w:szCs w:val="22"/>
              </w:rPr>
            </w:pPr>
            <w:r w:rsidRPr="002303BB">
              <w:rPr>
                <w:rFonts w:ascii="Calibri Light" w:hAnsi="Calibri Light" w:cs="Calibri Light"/>
                <w:szCs w:val="22"/>
              </w:rPr>
              <w:t>The pre-service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756A81" w:rsidRPr="002303BB" w14:paraId="43CDE8E9" w14:textId="77777777" w:rsidTr="000C6C66">
        <w:tc>
          <w:tcPr>
            <w:tcW w:w="10748" w:type="dxa"/>
            <w:gridSpan w:val="3"/>
            <w:shd w:val="clear" w:color="auto" w:fill="F8E4B5" w:themeFill="text2" w:themeFillTint="66"/>
          </w:tcPr>
          <w:p w14:paraId="13EE9B71" w14:textId="77777777" w:rsidR="00756A81" w:rsidRPr="002303BB" w:rsidRDefault="00756A81" w:rsidP="002303BB">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756A81" w:rsidRPr="002303BB" w14:paraId="78E163EA" w14:textId="77777777" w:rsidTr="00F826AF">
        <w:trPr>
          <w:gridAfter w:val="1"/>
          <w:wAfter w:w="17" w:type="dxa"/>
        </w:trPr>
        <w:tc>
          <w:tcPr>
            <w:tcW w:w="1843" w:type="dxa"/>
            <w:vAlign w:val="center"/>
          </w:tcPr>
          <w:p w14:paraId="4D6D0896" w14:textId="77777777" w:rsidR="00756A81" w:rsidRPr="002303BB" w:rsidRDefault="00756A81" w:rsidP="00F826AF">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Proficient</w:t>
            </w:r>
          </w:p>
        </w:tc>
        <w:tc>
          <w:tcPr>
            <w:tcW w:w="8888" w:type="dxa"/>
          </w:tcPr>
          <w:p w14:paraId="6AEF4971" w14:textId="6DC48286" w:rsidR="00756A81" w:rsidRPr="002303BB" w:rsidRDefault="00C05E0B" w:rsidP="002303BB">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pre-service teacher is proficient in the seventeen standard descriptors for Standards 3, 4 &amp; 5. This is evident by the use of well-structured teaching programs, where challenging goals assist students to develop problem-solving skills, critical and creative thinking. Effective use is made of </w:t>
            </w:r>
            <w:r w:rsidRPr="002303BB">
              <w:rPr>
                <w:rFonts w:ascii="Calibri Light" w:hAnsi="Calibri Light" w:cs="Calibri Light"/>
                <w:szCs w:val="22"/>
              </w:rPr>
              <w:lastRenderedPageBreak/>
              <w:t>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student learning through timely feedback to students. Assessment data are used to modify practices, inform future planning and can be used to report to parents and carers.</w:t>
            </w:r>
          </w:p>
        </w:tc>
      </w:tr>
      <w:tr w:rsidR="00756A81" w:rsidRPr="002303BB" w14:paraId="52474681" w14:textId="77777777" w:rsidTr="00F826AF">
        <w:trPr>
          <w:gridAfter w:val="1"/>
          <w:wAfter w:w="17" w:type="dxa"/>
        </w:trPr>
        <w:tc>
          <w:tcPr>
            <w:tcW w:w="1843" w:type="dxa"/>
            <w:vAlign w:val="center"/>
          </w:tcPr>
          <w:p w14:paraId="79C30F8D" w14:textId="77777777" w:rsidR="00756A81" w:rsidRPr="002303BB" w:rsidRDefault="00756A81" w:rsidP="00F826AF">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888" w:type="dxa"/>
          </w:tcPr>
          <w:p w14:paraId="4B3884B1" w14:textId="165DC532" w:rsidR="00756A81" w:rsidRPr="002303BB" w:rsidRDefault="00C05E0B" w:rsidP="002303BB">
            <w:pPr>
              <w:spacing w:before="60" w:after="60"/>
              <w:rPr>
                <w:rFonts w:ascii="Calibri Light" w:hAnsi="Calibri Light" w:cs="Calibri Light"/>
                <w:b/>
                <w:bCs/>
                <w:szCs w:val="22"/>
              </w:rPr>
            </w:pPr>
            <w:r w:rsidRPr="002303BB">
              <w:rPr>
                <w:rFonts w:ascii="Calibri Light" w:hAnsi="Calibri Light" w:cs="Calibri Light"/>
                <w:szCs w:val="22"/>
              </w:rPr>
              <w:t>The pre-service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756A81" w:rsidRPr="002303BB" w14:paraId="5CB8FB66" w14:textId="77777777" w:rsidTr="002C661C">
        <w:trPr>
          <w:gridAfter w:val="1"/>
          <w:wAfter w:w="17" w:type="dxa"/>
        </w:trPr>
        <w:tc>
          <w:tcPr>
            <w:tcW w:w="1843" w:type="dxa"/>
            <w:vAlign w:val="center"/>
          </w:tcPr>
          <w:p w14:paraId="1368924A" w14:textId="6B81279A" w:rsidR="00756A81" w:rsidRPr="002303BB" w:rsidRDefault="00DE331A" w:rsidP="00F826AF">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888" w:type="dxa"/>
          </w:tcPr>
          <w:p w14:paraId="2DC0E90A" w14:textId="77777777" w:rsidR="00756A81" w:rsidRPr="002303BB" w:rsidRDefault="00756A81" w:rsidP="002303BB">
            <w:pPr>
              <w:spacing w:before="60" w:after="60"/>
              <w:rPr>
                <w:rFonts w:ascii="Calibri Light" w:hAnsi="Calibri Light" w:cs="Calibri Light"/>
                <w:szCs w:val="22"/>
              </w:rPr>
            </w:pPr>
            <w:r w:rsidRPr="002303BB">
              <w:rPr>
                <w:rFonts w:ascii="Calibri Light" w:hAnsi="Calibri Light" w:cs="Calibri Light"/>
                <w:szCs w:val="22"/>
              </w:rPr>
              <w:t>The pre-service teacher has had limited opportunity to demonstrate skills or professional practice.</w:t>
            </w:r>
          </w:p>
        </w:tc>
      </w:tr>
      <w:tr w:rsidR="00756A81" w:rsidRPr="002303BB" w14:paraId="0F1AE3A7" w14:textId="77777777" w:rsidTr="002C661C">
        <w:trPr>
          <w:gridAfter w:val="1"/>
          <w:wAfter w:w="17" w:type="dxa"/>
        </w:trPr>
        <w:tc>
          <w:tcPr>
            <w:tcW w:w="1843" w:type="dxa"/>
          </w:tcPr>
          <w:p w14:paraId="3F915EEE" w14:textId="77777777" w:rsidR="00756A81" w:rsidRPr="002303BB" w:rsidRDefault="00756A81" w:rsidP="002303BB">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888" w:type="dxa"/>
          </w:tcPr>
          <w:p w14:paraId="46F3B95C" w14:textId="62A9B4FF" w:rsidR="00756A81" w:rsidRPr="002303BB" w:rsidRDefault="00C05E0B" w:rsidP="002303BB">
            <w:pPr>
              <w:spacing w:before="60" w:after="60"/>
              <w:rPr>
                <w:rFonts w:ascii="Calibri Light" w:hAnsi="Calibri Light" w:cs="Calibri Light"/>
                <w:szCs w:val="22"/>
              </w:rPr>
            </w:pPr>
            <w:r w:rsidRPr="002303BB">
              <w:rPr>
                <w:rFonts w:ascii="Calibri Light" w:hAnsi="Calibri Light" w:cs="Calibri Light"/>
                <w:szCs w:val="22"/>
              </w:rPr>
              <w:t>The pre-service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pre-service teacher is generally unaware of or indifferent to student behaviours and the need to include strategies to manage student learning. They are reluctant to deal with difficult or unproductive behaviours.</w:t>
            </w:r>
          </w:p>
        </w:tc>
      </w:tr>
      <w:tr w:rsidR="00756A81" w:rsidRPr="002303BB" w14:paraId="265DAFDD" w14:textId="77777777" w:rsidTr="000C6C66">
        <w:tc>
          <w:tcPr>
            <w:tcW w:w="10748" w:type="dxa"/>
            <w:gridSpan w:val="3"/>
            <w:shd w:val="clear" w:color="auto" w:fill="F8E4B5" w:themeFill="text2" w:themeFillTint="66"/>
          </w:tcPr>
          <w:p w14:paraId="159C405B" w14:textId="0B9932D8" w:rsidR="00756A81" w:rsidRPr="002303BB" w:rsidRDefault="00756A81" w:rsidP="002303BB">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C05E0B" w:rsidRPr="002303BB" w14:paraId="0D4918E4" w14:textId="77777777" w:rsidTr="00F826AF">
        <w:trPr>
          <w:gridAfter w:val="1"/>
          <w:wAfter w:w="17" w:type="dxa"/>
        </w:trPr>
        <w:tc>
          <w:tcPr>
            <w:tcW w:w="1843" w:type="dxa"/>
            <w:vAlign w:val="center"/>
          </w:tcPr>
          <w:p w14:paraId="73306BBA" w14:textId="77777777" w:rsidR="00C05E0B" w:rsidRPr="002303BB" w:rsidRDefault="00C05E0B" w:rsidP="00F826AF">
            <w:pPr>
              <w:spacing w:before="60" w:after="60"/>
              <w:rPr>
                <w:rFonts w:ascii="Calibri Light" w:hAnsi="Calibri Light" w:cs="Calibri Light"/>
                <w:b/>
                <w:bCs/>
                <w:szCs w:val="22"/>
              </w:rPr>
            </w:pPr>
            <w:r w:rsidRPr="002303BB">
              <w:rPr>
                <w:rFonts w:ascii="Calibri Light" w:hAnsi="Calibri Light" w:cs="Calibri Light"/>
                <w:b/>
                <w:bCs/>
                <w:szCs w:val="22"/>
              </w:rPr>
              <w:t>Proficient</w:t>
            </w:r>
          </w:p>
        </w:tc>
        <w:tc>
          <w:tcPr>
            <w:tcW w:w="8888" w:type="dxa"/>
          </w:tcPr>
          <w:p w14:paraId="23A1B27D" w14:textId="120B10AF" w:rsidR="00C05E0B" w:rsidRPr="002303BB" w:rsidRDefault="00C05E0B" w:rsidP="002303BB">
            <w:pPr>
              <w:spacing w:before="60" w:after="60"/>
              <w:rPr>
                <w:rFonts w:ascii="Calibri Light" w:hAnsi="Calibri Light" w:cs="Calibri Light"/>
                <w:b/>
                <w:bCs/>
                <w:szCs w:val="22"/>
              </w:rPr>
            </w:pPr>
            <w:r w:rsidRPr="002303BB">
              <w:rPr>
                <w:rFonts w:ascii="Calibri Light" w:hAnsi="Calibri Light" w:cs="Calibri Light"/>
                <w:szCs w:val="22"/>
              </w:rPr>
              <w:t>The pre-service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organisational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C05E0B" w:rsidRPr="002303BB" w14:paraId="5B251008" w14:textId="77777777" w:rsidTr="00F826AF">
        <w:trPr>
          <w:gridAfter w:val="1"/>
          <w:wAfter w:w="17" w:type="dxa"/>
        </w:trPr>
        <w:tc>
          <w:tcPr>
            <w:tcW w:w="1843" w:type="dxa"/>
            <w:vAlign w:val="center"/>
          </w:tcPr>
          <w:p w14:paraId="484C8E23" w14:textId="77777777" w:rsidR="00C05E0B" w:rsidRPr="002303BB" w:rsidRDefault="00C05E0B" w:rsidP="00F826AF">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888" w:type="dxa"/>
          </w:tcPr>
          <w:p w14:paraId="3BF5AE1B" w14:textId="053F4921" w:rsidR="00C05E0B" w:rsidRPr="002303BB" w:rsidRDefault="00C05E0B" w:rsidP="002303BB">
            <w:pPr>
              <w:spacing w:before="60" w:after="60"/>
              <w:rPr>
                <w:rFonts w:ascii="Calibri Light" w:hAnsi="Calibri Light" w:cs="Calibri Light"/>
                <w:szCs w:val="22"/>
              </w:rPr>
            </w:pPr>
            <w:r w:rsidRPr="002303BB">
              <w:rPr>
                <w:rFonts w:ascii="Calibri Light" w:hAnsi="Calibri Light" w:cs="Calibri Light"/>
                <w:szCs w:val="22"/>
              </w:rPr>
              <w:t>The pre-service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organisational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756A81" w:rsidRPr="002303BB" w14:paraId="2E1DE66A" w14:textId="77777777" w:rsidTr="000C6C66">
        <w:trPr>
          <w:gridAfter w:val="1"/>
          <w:wAfter w:w="17" w:type="dxa"/>
        </w:trPr>
        <w:tc>
          <w:tcPr>
            <w:tcW w:w="1843" w:type="dxa"/>
            <w:vAlign w:val="center"/>
          </w:tcPr>
          <w:p w14:paraId="37E4F506" w14:textId="14485694" w:rsidR="00756A81" w:rsidRPr="002303BB" w:rsidRDefault="00DE331A" w:rsidP="00F826AF">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888" w:type="dxa"/>
          </w:tcPr>
          <w:p w14:paraId="6598B328" w14:textId="77777777" w:rsidR="00756A81" w:rsidRPr="002303BB" w:rsidRDefault="00756A81" w:rsidP="002303BB">
            <w:pPr>
              <w:spacing w:before="60" w:after="60"/>
              <w:rPr>
                <w:rFonts w:ascii="Calibri Light" w:hAnsi="Calibri Light" w:cs="Calibri Light"/>
                <w:szCs w:val="22"/>
              </w:rPr>
            </w:pPr>
            <w:r w:rsidRPr="002303BB">
              <w:rPr>
                <w:rFonts w:ascii="Calibri Light" w:hAnsi="Calibri Light" w:cs="Calibri Light"/>
                <w:szCs w:val="22"/>
              </w:rPr>
              <w:t>The pre-service teacher has had limited opportunity to demonstrate skills or undertake in professional engagement activities.</w:t>
            </w:r>
          </w:p>
        </w:tc>
      </w:tr>
      <w:tr w:rsidR="00756A81" w:rsidRPr="002303BB" w14:paraId="58974384" w14:textId="77777777" w:rsidTr="00F826AF">
        <w:trPr>
          <w:gridAfter w:val="1"/>
          <w:wAfter w:w="17" w:type="dxa"/>
        </w:trPr>
        <w:tc>
          <w:tcPr>
            <w:tcW w:w="1843" w:type="dxa"/>
            <w:vAlign w:val="center"/>
          </w:tcPr>
          <w:p w14:paraId="4C1D4507" w14:textId="77777777" w:rsidR="00756A81" w:rsidRPr="002303BB" w:rsidRDefault="00756A81" w:rsidP="00F826AF">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lastRenderedPageBreak/>
              <w:t>Unsatisfactory</w:t>
            </w:r>
          </w:p>
        </w:tc>
        <w:tc>
          <w:tcPr>
            <w:tcW w:w="8888" w:type="dxa"/>
          </w:tcPr>
          <w:p w14:paraId="19EDF330" w14:textId="6355A47C" w:rsidR="00756A81" w:rsidRPr="002303BB" w:rsidRDefault="00C05E0B" w:rsidP="002303BB">
            <w:pPr>
              <w:spacing w:before="60" w:after="60"/>
              <w:rPr>
                <w:rFonts w:ascii="Calibri Light" w:hAnsi="Calibri Light" w:cs="Calibri Light"/>
                <w:b/>
                <w:bCs/>
                <w:szCs w:val="22"/>
              </w:rPr>
            </w:pPr>
            <w:r w:rsidRPr="002303BB">
              <w:rPr>
                <w:rFonts w:ascii="Calibri Light" w:hAnsi="Calibri Light" w:cs="Calibri Light"/>
                <w:szCs w:val="22"/>
              </w:rPr>
              <w:t>The pre-service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283917CA" w14:textId="6867352B" w:rsidR="00975FE0" w:rsidRPr="002303BB" w:rsidRDefault="00975FE0" w:rsidP="002303BB">
      <w:pPr>
        <w:rPr>
          <w:rFonts w:ascii="Calibri Light" w:hAnsi="Calibri Light" w:cs="Calibri Light"/>
          <w:szCs w:val="22"/>
        </w:rPr>
        <w:sectPr w:rsidR="00975FE0" w:rsidRPr="002303BB" w:rsidSect="00390832">
          <w:headerReference w:type="even" r:id="rId20"/>
          <w:headerReference w:type="default" r:id="rId21"/>
          <w:footerReference w:type="default" r:id="rId22"/>
          <w:headerReference w:type="first" r:id="rId23"/>
          <w:footerReference w:type="first" r:id="rId24"/>
          <w:pgSz w:w="11900" w:h="16840"/>
          <w:pgMar w:top="1315" w:right="1127" w:bottom="1276" w:left="1315" w:header="850" w:footer="737" w:gutter="0"/>
          <w:cols w:space="708"/>
          <w:titlePg/>
          <w:docGrid w:linePitch="360"/>
        </w:sectPr>
      </w:pPr>
    </w:p>
    <w:p w14:paraId="51384A9F"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lastRenderedPageBreak/>
        <w:t>Master of Teaching Primary (STCHP1)</w:t>
      </w:r>
    </w:p>
    <w:p w14:paraId="7793A94C" w14:textId="77777777" w:rsidR="00B408DD" w:rsidRPr="002303BB" w:rsidRDefault="00B408DD" w:rsidP="002303BB">
      <w:pPr>
        <w:rPr>
          <w:rFonts w:ascii="Calibri Light" w:hAnsi="Calibri Light" w:cs="Calibri Light"/>
          <w:szCs w:val="22"/>
        </w:rPr>
      </w:pPr>
      <w:r w:rsidRPr="002303BB">
        <w:rPr>
          <w:rFonts w:ascii="Calibri Light" w:hAnsi="Calibri Light" w:cs="Calibri Light"/>
          <w:szCs w:val="22"/>
        </w:rPr>
        <w:t>Semester 1 Entry – full time</w:t>
      </w:r>
    </w:p>
    <w:p w14:paraId="329663AE" w14:textId="24FD68A5" w:rsidR="00975FE0" w:rsidRPr="002303BB" w:rsidRDefault="00975FE0" w:rsidP="002303BB">
      <w:pPr>
        <w:rPr>
          <w:rFonts w:ascii="Calibri Light" w:eastAsia="Times New Roman" w:hAnsi="Calibri Light" w:cs="Calibri Light"/>
          <w:color w:val="000000"/>
          <w:szCs w:val="22"/>
          <w:lang w:val="en-GB" w:eastAsia="en-G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5"/>
        <w:gridCol w:w="2280"/>
        <w:gridCol w:w="2280"/>
        <w:gridCol w:w="2280"/>
        <w:gridCol w:w="2295"/>
      </w:tblGrid>
      <w:tr w:rsidR="00B408DD" w:rsidRPr="002303BB" w14:paraId="65B1DCE8" w14:textId="77777777" w:rsidTr="0028508D">
        <w:trPr>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14:paraId="365310C2" w14:textId="77777777" w:rsidR="00B408DD" w:rsidRPr="002303BB" w:rsidRDefault="00B408DD" w:rsidP="002303BB">
            <w:pPr>
              <w:rPr>
                <w:rFonts w:ascii="Calibri Light" w:eastAsia="Times New Roman" w:hAnsi="Calibri Light" w:cs="Calibri Light"/>
                <w:b/>
                <w:bCs/>
                <w:color w:val="4B4B4B"/>
                <w:szCs w:val="22"/>
                <w:lang w:eastAsia="en-AU"/>
              </w:rPr>
            </w:pPr>
            <w:r w:rsidRPr="002303BB">
              <w:rPr>
                <w:rFonts w:ascii="Calibri Light" w:eastAsia="Times New Roman" w:hAnsi="Calibri Light" w:cs="Calibri Light"/>
                <w:b/>
                <w:bCs/>
                <w:color w:val="4B4B4B"/>
                <w:szCs w:val="22"/>
                <w:lang w:eastAsia="en-AU"/>
              </w:rPr>
              <w:t>Legend:</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BB6BFFD" w14:textId="77777777" w:rsidR="00B408DD" w:rsidRPr="002303BB" w:rsidRDefault="00B408DD" w:rsidP="002303BB">
            <w:pPr>
              <w:rPr>
                <w:rFonts w:ascii="Calibri Light" w:eastAsia="Times New Roman" w:hAnsi="Calibri Light" w:cs="Calibri Light"/>
                <w:color w:val="4B4B4B"/>
                <w:szCs w:val="22"/>
                <w:lang w:eastAsia="en-AU"/>
              </w:rPr>
            </w:pPr>
            <w:r w:rsidRPr="002303BB">
              <w:rPr>
                <w:rFonts w:ascii="Calibri Light" w:eastAsia="Times New Roman" w:hAnsi="Calibri Light" w:cs="Calibri Light"/>
                <w:color w:val="4B4B4B"/>
                <w:szCs w:val="22"/>
                <w:lang w:eastAsia="en-AU"/>
              </w:rPr>
              <w:t>CU = Common Unit</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CF01AC3" w14:textId="77777777" w:rsidR="00B408DD" w:rsidRPr="002303BB" w:rsidRDefault="00B408DD" w:rsidP="002303BB">
            <w:pPr>
              <w:rPr>
                <w:rFonts w:ascii="Calibri Light" w:eastAsia="Times New Roman" w:hAnsi="Calibri Light" w:cs="Calibri Light"/>
                <w:color w:val="4B4B4B"/>
                <w:szCs w:val="22"/>
                <w:lang w:eastAsia="en-AU"/>
              </w:rPr>
            </w:pPr>
            <w:r w:rsidRPr="002303BB">
              <w:rPr>
                <w:rFonts w:ascii="Calibri Light" w:eastAsia="Times New Roman" w:hAnsi="Calibri Light" w:cs="Calibri Light"/>
                <w:color w:val="4B4B4B"/>
                <w:szCs w:val="22"/>
                <w:lang w:eastAsia="en-AU"/>
              </w:rPr>
              <w:t>CO = Core Unit</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23F7A1D" w14:textId="77777777" w:rsidR="00B408DD" w:rsidRPr="002303BB" w:rsidRDefault="00B408DD" w:rsidP="002303BB">
            <w:pPr>
              <w:rPr>
                <w:rFonts w:ascii="Calibri Light" w:eastAsia="Times New Roman" w:hAnsi="Calibri Light" w:cs="Calibri Light"/>
                <w:color w:val="4B4B4B"/>
                <w:szCs w:val="22"/>
                <w:lang w:eastAsia="en-AU"/>
              </w:rPr>
            </w:pPr>
            <w:r w:rsidRPr="002303BB">
              <w:rPr>
                <w:rFonts w:ascii="Calibri Light" w:eastAsia="Times New Roman" w:hAnsi="Calibri Light" w:cs="Calibri Light"/>
                <w:color w:val="4B4B4B"/>
                <w:szCs w:val="22"/>
                <w:lang w:eastAsia="en-AU"/>
              </w:rPr>
              <w:t>SE = Specialist Elective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83C8B1F" w14:textId="77777777" w:rsidR="00B408DD" w:rsidRPr="002303BB" w:rsidRDefault="00B408DD" w:rsidP="002303BB">
            <w:pPr>
              <w:rPr>
                <w:rFonts w:ascii="Calibri Light" w:eastAsia="Times New Roman" w:hAnsi="Calibri Light" w:cs="Calibri Light"/>
                <w:color w:val="4B4B4B"/>
                <w:szCs w:val="22"/>
                <w:lang w:eastAsia="en-AU"/>
              </w:rPr>
            </w:pPr>
            <w:r w:rsidRPr="002303BB">
              <w:rPr>
                <w:rFonts w:ascii="Calibri Light" w:eastAsia="Times New Roman" w:hAnsi="Calibri Light" w:cs="Calibri Light"/>
                <w:color w:val="4B4B4B"/>
                <w:szCs w:val="22"/>
                <w:lang w:eastAsia="en-AU"/>
              </w:rPr>
              <w:t>R = Research</w:t>
            </w:r>
          </w:p>
        </w:tc>
      </w:tr>
    </w:tbl>
    <w:p w14:paraId="6206E481" w14:textId="3D790819" w:rsidR="00B408DD" w:rsidRPr="002303BB" w:rsidRDefault="00B408DD" w:rsidP="002303BB">
      <w:pPr>
        <w:rPr>
          <w:rFonts w:ascii="Calibri Light" w:eastAsia="Times New Roman" w:hAnsi="Calibri Light" w:cs="Calibri Light"/>
          <w:color w:val="000000"/>
          <w:szCs w:val="22"/>
          <w:lang w:val="en-GB" w:eastAsia="en-GB"/>
        </w:rPr>
      </w:pPr>
    </w:p>
    <w:tbl>
      <w:tblPr>
        <w:tblW w:w="14884" w:type="dxa"/>
        <w:tblCellSpacing w:w="15"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064"/>
        <w:gridCol w:w="457"/>
        <w:gridCol w:w="3915"/>
        <w:gridCol w:w="424"/>
        <w:gridCol w:w="4507"/>
        <w:gridCol w:w="517"/>
      </w:tblGrid>
      <w:tr w:rsidR="00B408DD" w:rsidRPr="002303BB" w14:paraId="0B7A76EA" w14:textId="77777777" w:rsidTr="00B408DD">
        <w:trPr>
          <w:tblCellSpacing w:w="15" w:type="dxa"/>
        </w:trPr>
        <w:tc>
          <w:tcPr>
            <w:tcW w:w="5476" w:type="dxa"/>
            <w:gridSpan w:val="2"/>
            <w:shd w:val="clear" w:color="auto" w:fill="BFBFBF" w:themeFill="background1" w:themeFillShade="BF"/>
          </w:tcPr>
          <w:p w14:paraId="7CF05854" w14:textId="77777777" w:rsidR="00B408DD" w:rsidRPr="002303BB" w:rsidRDefault="00B408DD" w:rsidP="002303BB">
            <w:pPr>
              <w:jc w:val="center"/>
              <w:rPr>
                <w:rFonts w:ascii="Calibri Light" w:eastAsia="Times New Roman" w:hAnsi="Calibri Light" w:cs="Calibri Light"/>
                <w:b/>
                <w:bCs/>
                <w:szCs w:val="22"/>
                <w:lang w:val="en-AU" w:eastAsia="en-AU"/>
              </w:rPr>
            </w:pPr>
            <w:r w:rsidRPr="002303BB">
              <w:rPr>
                <w:rFonts w:ascii="Calibri Light" w:eastAsia="Times New Roman" w:hAnsi="Calibri Light" w:cs="Calibri Light"/>
                <w:b/>
                <w:bCs/>
                <w:szCs w:val="22"/>
                <w:lang w:val="en-AU" w:eastAsia="en-AU"/>
              </w:rPr>
              <w:t>Trimester 1</w:t>
            </w:r>
          </w:p>
        </w:tc>
        <w:tc>
          <w:tcPr>
            <w:tcW w:w="4309" w:type="dxa"/>
            <w:gridSpan w:val="2"/>
            <w:shd w:val="clear" w:color="auto" w:fill="BFBFBF" w:themeFill="background1" w:themeFillShade="BF"/>
            <w:hideMark/>
          </w:tcPr>
          <w:p w14:paraId="2B7977B7" w14:textId="77777777" w:rsidR="00B408DD" w:rsidRPr="002303BB" w:rsidRDefault="00B408DD" w:rsidP="002303BB">
            <w:pPr>
              <w:jc w:val="center"/>
              <w:rPr>
                <w:rFonts w:ascii="Calibri Light" w:eastAsia="Times New Roman" w:hAnsi="Calibri Light" w:cs="Calibri Light"/>
                <w:szCs w:val="22"/>
                <w:lang w:val="en-AU" w:eastAsia="en-AU"/>
              </w:rPr>
            </w:pPr>
            <w:r w:rsidRPr="002303BB">
              <w:rPr>
                <w:rFonts w:ascii="Calibri Light" w:eastAsia="Times New Roman" w:hAnsi="Calibri Light" w:cs="Calibri Light"/>
                <w:b/>
                <w:bCs/>
                <w:szCs w:val="22"/>
                <w:lang w:val="en-AU" w:eastAsia="en-AU"/>
              </w:rPr>
              <w:t>Trimester 2</w:t>
            </w:r>
          </w:p>
        </w:tc>
        <w:tc>
          <w:tcPr>
            <w:tcW w:w="4979" w:type="dxa"/>
            <w:gridSpan w:val="2"/>
            <w:shd w:val="clear" w:color="auto" w:fill="BFBFBF" w:themeFill="background1" w:themeFillShade="BF"/>
            <w:hideMark/>
          </w:tcPr>
          <w:p w14:paraId="6DF28237" w14:textId="77777777" w:rsidR="00B408DD" w:rsidRPr="002303BB" w:rsidRDefault="00B408DD" w:rsidP="002303BB">
            <w:pPr>
              <w:jc w:val="center"/>
              <w:rPr>
                <w:rFonts w:ascii="Calibri Light" w:eastAsia="Times New Roman" w:hAnsi="Calibri Light" w:cs="Calibri Light"/>
                <w:szCs w:val="22"/>
                <w:lang w:val="en-AU" w:eastAsia="en-AU"/>
              </w:rPr>
            </w:pPr>
            <w:r w:rsidRPr="002303BB">
              <w:rPr>
                <w:rFonts w:ascii="Calibri Light" w:eastAsia="Times New Roman" w:hAnsi="Calibri Light" w:cs="Calibri Light"/>
                <w:b/>
                <w:bCs/>
                <w:szCs w:val="22"/>
                <w:lang w:val="en-AU" w:eastAsia="en-AU"/>
              </w:rPr>
              <w:t xml:space="preserve">Trimester 3 </w:t>
            </w:r>
          </w:p>
        </w:tc>
      </w:tr>
      <w:tr w:rsidR="00B408DD" w:rsidRPr="002303BB" w14:paraId="07215461" w14:textId="77777777" w:rsidTr="00B408DD">
        <w:trPr>
          <w:tblCellSpacing w:w="15" w:type="dxa"/>
        </w:trPr>
        <w:tc>
          <w:tcPr>
            <w:tcW w:w="14824" w:type="dxa"/>
            <w:gridSpan w:val="6"/>
            <w:shd w:val="clear" w:color="auto" w:fill="BFBFBF" w:themeFill="background1" w:themeFillShade="BF"/>
          </w:tcPr>
          <w:p w14:paraId="74309717" w14:textId="77777777" w:rsidR="00B408DD" w:rsidRPr="002303BB" w:rsidRDefault="00B408DD" w:rsidP="002303BB">
            <w:pPr>
              <w:jc w:val="center"/>
              <w:rPr>
                <w:rFonts w:ascii="Calibri Light" w:eastAsia="Times New Roman" w:hAnsi="Calibri Light" w:cs="Calibri Light"/>
                <w:b/>
                <w:bCs/>
                <w:szCs w:val="22"/>
                <w:lang w:val="en-AU" w:eastAsia="en-AU"/>
              </w:rPr>
            </w:pPr>
            <w:r w:rsidRPr="002303BB">
              <w:rPr>
                <w:rFonts w:ascii="Calibri Light" w:eastAsia="Times New Roman" w:hAnsi="Calibri Light" w:cs="Calibri Light"/>
                <w:b/>
                <w:bCs/>
                <w:szCs w:val="22"/>
                <w:lang w:val="en-AU" w:eastAsia="en-AU"/>
              </w:rPr>
              <w:t>Year 1</w:t>
            </w:r>
          </w:p>
        </w:tc>
      </w:tr>
      <w:tr w:rsidR="00B408DD" w:rsidRPr="002303BB" w14:paraId="09D6A374" w14:textId="77777777" w:rsidTr="00B408DD">
        <w:trPr>
          <w:tblCellSpacing w:w="15" w:type="dxa"/>
        </w:trPr>
        <w:tc>
          <w:tcPr>
            <w:tcW w:w="5019" w:type="dxa"/>
          </w:tcPr>
          <w:p w14:paraId="24AECD01" w14:textId="77777777" w:rsidR="00B408DD" w:rsidRPr="002303BB" w:rsidRDefault="00B408DD" w:rsidP="002303BB">
            <w:pPr>
              <w:ind w:right="-103"/>
              <w:rPr>
                <w:rFonts w:ascii="Calibri Light" w:hAnsi="Calibri Light" w:cs="Calibri Light"/>
                <w:szCs w:val="22"/>
              </w:rPr>
            </w:pPr>
            <w:r w:rsidRPr="002303BB">
              <w:rPr>
                <w:rFonts w:ascii="Calibri Light" w:hAnsi="Calibri Light" w:cs="Calibri Light"/>
                <w:szCs w:val="22"/>
              </w:rPr>
              <w:t>ETL503 Learner Development</w:t>
            </w:r>
          </w:p>
        </w:tc>
        <w:tc>
          <w:tcPr>
            <w:tcW w:w="427" w:type="dxa"/>
          </w:tcPr>
          <w:p w14:paraId="60FB68F1"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3885" w:type="dxa"/>
            <w:shd w:val="clear" w:color="auto" w:fill="auto"/>
          </w:tcPr>
          <w:p w14:paraId="27F5CDA1"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hAnsi="Calibri Light" w:cs="Calibri Light"/>
                <w:szCs w:val="22"/>
              </w:rPr>
              <w:t>EST501 Managing the Classroom Environment and Student Wellbeing</w:t>
            </w:r>
          </w:p>
        </w:tc>
        <w:tc>
          <w:tcPr>
            <w:tcW w:w="394" w:type="dxa"/>
            <w:shd w:val="clear" w:color="auto" w:fill="auto"/>
          </w:tcPr>
          <w:p w14:paraId="1BDE586E"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4477" w:type="dxa"/>
            <w:shd w:val="clear" w:color="auto" w:fill="auto"/>
          </w:tcPr>
          <w:p w14:paraId="3BF33D9E" w14:textId="77777777" w:rsidR="00B408DD" w:rsidRPr="002303BB" w:rsidRDefault="00B408DD" w:rsidP="002303BB">
            <w:pPr>
              <w:rPr>
                <w:rFonts w:ascii="Calibri Light" w:eastAsia="Times New Roman" w:hAnsi="Calibri Light" w:cs="Calibri Light"/>
                <w:color w:val="4B4B4B"/>
                <w:szCs w:val="22"/>
                <w:lang w:val="en-AU" w:eastAsia="en-AU"/>
              </w:rPr>
            </w:pPr>
            <w:bookmarkStart w:id="1" w:name="_Hlk100312712"/>
            <w:r w:rsidRPr="002303BB">
              <w:rPr>
                <w:rFonts w:ascii="Calibri Light" w:hAnsi="Calibri Light" w:cs="Calibri Light"/>
                <w:szCs w:val="22"/>
              </w:rPr>
              <w:t xml:space="preserve">EST511 </w:t>
            </w:r>
            <w:bookmarkEnd w:id="1"/>
            <w:r w:rsidRPr="002303BB">
              <w:rPr>
                <w:rFonts w:ascii="Calibri Light" w:hAnsi="Calibri Light" w:cs="Calibri Light"/>
                <w:szCs w:val="22"/>
              </w:rPr>
              <w:t>Integrating Indigenous History, Cultures and Learning in Teaching Practice</w:t>
            </w:r>
          </w:p>
        </w:tc>
        <w:tc>
          <w:tcPr>
            <w:tcW w:w="472" w:type="dxa"/>
            <w:shd w:val="clear" w:color="auto" w:fill="auto"/>
          </w:tcPr>
          <w:p w14:paraId="7D8F9F13"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r>
      <w:tr w:rsidR="00B408DD" w:rsidRPr="002303BB" w14:paraId="7A4C433C" w14:textId="77777777" w:rsidTr="00B408DD">
        <w:trPr>
          <w:tblCellSpacing w:w="15" w:type="dxa"/>
        </w:trPr>
        <w:tc>
          <w:tcPr>
            <w:tcW w:w="5019" w:type="dxa"/>
          </w:tcPr>
          <w:p w14:paraId="0A493CE3" w14:textId="256911F6" w:rsidR="00B408DD" w:rsidRPr="002303BB" w:rsidRDefault="00B408DD" w:rsidP="002303BB">
            <w:pPr>
              <w:rPr>
                <w:rFonts w:ascii="Calibri Light" w:eastAsia="Times New Roman" w:hAnsi="Calibri Light" w:cs="Calibri Light"/>
                <w:color w:val="4B4B4B"/>
                <w:szCs w:val="22"/>
                <w:lang w:val="en-AU" w:eastAsia="en-AU"/>
              </w:rPr>
            </w:pPr>
            <w:bookmarkStart w:id="2" w:name="_Hlk100312913"/>
            <w:r w:rsidRPr="002303BB">
              <w:rPr>
                <w:rFonts w:ascii="Calibri Light" w:hAnsi="Calibri Light" w:cs="Calibri Light"/>
                <w:szCs w:val="22"/>
              </w:rPr>
              <w:t xml:space="preserve">ELA525 </w:t>
            </w:r>
            <w:bookmarkEnd w:id="2"/>
            <w:r w:rsidRPr="002303BB">
              <w:rPr>
                <w:rFonts w:ascii="Calibri Light" w:hAnsi="Calibri Light" w:cs="Calibri Light"/>
                <w:szCs w:val="22"/>
              </w:rPr>
              <w:t>English Literacy and Literature (F-2)</w:t>
            </w:r>
          </w:p>
        </w:tc>
        <w:tc>
          <w:tcPr>
            <w:tcW w:w="427" w:type="dxa"/>
          </w:tcPr>
          <w:p w14:paraId="36B1763B"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3885" w:type="dxa"/>
            <w:shd w:val="clear" w:color="auto" w:fill="auto"/>
          </w:tcPr>
          <w:p w14:paraId="51117DE3"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hAnsi="Calibri Light" w:cs="Calibri Light"/>
                <w:szCs w:val="22"/>
              </w:rPr>
              <w:t>ELA526 English Literacy and Literature (3-6)</w:t>
            </w:r>
          </w:p>
        </w:tc>
        <w:tc>
          <w:tcPr>
            <w:tcW w:w="394" w:type="dxa"/>
            <w:shd w:val="clear" w:color="auto" w:fill="auto"/>
          </w:tcPr>
          <w:p w14:paraId="2717601B"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4477" w:type="dxa"/>
            <w:shd w:val="clear" w:color="auto" w:fill="D9D9D9" w:themeFill="background1" w:themeFillShade="D9"/>
          </w:tcPr>
          <w:p w14:paraId="46CEC233" w14:textId="77777777" w:rsidR="00B408DD" w:rsidRPr="002303BB" w:rsidRDefault="00B408DD" w:rsidP="002303BB">
            <w:pPr>
              <w:rPr>
                <w:rFonts w:ascii="Calibri Light" w:eastAsia="Times New Roman" w:hAnsi="Calibri Light" w:cs="Calibri Light"/>
                <w:color w:val="4B4B4B"/>
                <w:szCs w:val="22"/>
                <w:lang w:val="en-AU" w:eastAsia="en-AU"/>
              </w:rPr>
            </w:pPr>
          </w:p>
        </w:tc>
        <w:tc>
          <w:tcPr>
            <w:tcW w:w="472" w:type="dxa"/>
            <w:shd w:val="clear" w:color="auto" w:fill="D9D9D9" w:themeFill="background1" w:themeFillShade="D9"/>
          </w:tcPr>
          <w:p w14:paraId="04FD08EE" w14:textId="77777777" w:rsidR="00B408DD" w:rsidRPr="002303BB" w:rsidRDefault="00B408DD" w:rsidP="002303BB">
            <w:pPr>
              <w:rPr>
                <w:rFonts w:ascii="Calibri Light" w:eastAsia="Times New Roman" w:hAnsi="Calibri Light" w:cs="Calibri Light"/>
                <w:color w:val="4B4B4B"/>
                <w:szCs w:val="22"/>
                <w:lang w:val="en-AU" w:eastAsia="en-AU"/>
              </w:rPr>
            </w:pPr>
          </w:p>
        </w:tc>
      </w:tr>
      <w:tr w:rsidR="00B408DD" w:rsidRPr="002303BB" w14:paraId="565F2EAC" w14:textId="77777777" w:rsidTr="00B408DD">
        <w:trPr>
          <w:tblCellSpacing w:w="15" w:type="dxa"/>
        </w:trPr>
        <w:tc>
          <w:tcPr>
            <w:tcW w:w="5019" w:type="dxa"/>
          </w:tcPr>
          <w:p w14:paraId="5ABC5E84" w14:textId="52575CB1" w:rsidR="00B408DD" w:rsidRPr="002303BB" w:rsidRDefault="00B408DD" w:rsidP="002303BB">
            <w:pPr>
              <w:rPr>
                <w:rFonts w:ascii="Calibri Light" w:eastAsia="Times New Roman" w:hAnsi="Calibri Light" w:cs="Calibri Light"/>
                <w:color w:val="4B4B4B"/>
                <w:szCs w:val="22"/>
                <w:lang w:val="en-AU" w:eastAsia="en-AU"/>
              </w:rPr>
            </w:pPr>
            <w:bookmarkStart w:id="3" w:name="_Hlk100655091"/>
            <w:r w:rsidRPr="002303BB">
              <w:rPr>
                <w:rFonts w:ascii="Calibri Light" w:hAnsi="Calibri Light" w:cs="Calibri Light"/>
                <w:szCs w:val="22"/>
              </w:rPr>
              <w:t>EMA541 Primary Mathematics Education 1</w:t>
            </w:r>
            <w:bookmarkEnd w:id="3"/>
          </w:p>
        </w:tc>
        <w:tc>
          <w:tcPr>
            <w:tcW w:w="427" w:type="dxa"/>
          </w:tcPr>
          <w:p w14:paraId="0782C267"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3885" w:type="dxa"/>
            <w:shd w:val="clear" w:color="auto" w:fill="auto"/>
          </w:tcPr>
          <w:p w14:paraId="3E6891BB"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hAnsi="Calibri Light" w:cs="Calibri Light"/>
                <w:szCs w:val="22"/>
              </w:rPr>
              <w:t>EMA542 Primary Mathematics Education 2</w:t>
            </w:r>
          </w:p>
        </w:tc>
        <w:tc>
          <w:tcPr>
            <w:tcW w:w="394" w:type="dxa"/>
            <w:shd w:val="clear" w:color="auto" w:fill="auto"/>
          </w:tcPr>
          <w:p w14:paraId="4CAB8222"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4477" w:type="dxa"/>
            <w:shd w:val="clear" w:color="auto" w:fill="D9D9D9" w:themeFill="background1" w:themeFillShade="D9"/>
          </w:tcPr>
          <w:p w14:paraId="6AAC2BF7" w14:textId="77777777" w:rsidR="00B408DD" w:rsidRPr="002303BB" w:rsidRDefault="00B408DD" w:rsidP="002303BB">
            <w:pPr>
              <w:rPr>
                <w:rFonts w:ascii="Calibri Light" w:eastAsia="Times New Roman" w:hAnsi="Calibri Light" w:cs="Calibri Light"/>
                <w:color w:val="4B4B4B"/>
                <w:szCs w:val="22"/>
                <w:lang w:val="en-AU" w:eastAsia="en-AU"/>
              </w:rPr>
            </w:pPr>
          </w:p>
        </w:tc>
        <w:tc>
          <w:tcPr>
            <w:tcW w:w="472" w:type="dxa"/>
            <w:shd w:val="clear" w:color="auto" w:fill="D9D9D9" w:themeFill="background1" w:themeFillShade="D9"/>
          </w:tcPr>
          <w:p w14:paraId="6A1F85DC" w14:textId="77777777" w:rsidR="00B408DD" w:rsidRPr="002303BB" w:rsidRDefault="00B408DD" w:rsidP="002303BB">
            <w:pPr>
              <w:rPr>
                <w:rFonts w:ascii="Calibri Light" w:eastAsia="Times New Roman" w:hAnsi="Calibri Light" w:cs="Calibri Light"/>
                <w:color w:val="4B4B4B"/>
                <w:szCs w:val="22"/>
                <w:lang w:val="en-AU" w:eastAsia="en-AU"/>
              </w:rPr>
            </w:pPr>
          </w:p>
        </w:tc>
      </w:tr>
      <w:tr w:rsidR="00B408DD" w:rsidRPr="002303BB" w14:paraId="06B49B2E" w14:textId="77777777" w:rsidTr="00B408DD">
        <w:trPr>
          <w:tblCellSpacing w:w="15" w:type="dxa"/>
        </w:trPr>
        <w:tc>
          <w:tcPr>
            <w:tcW w:w="5019" w:type="dxa"/>
          </w:tcPr>
          <w:p w14:paraId="1C8E6FF4"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hAnsi="Calibri Light" w:cs="Calibri Light"/>
                <w:szCs w:val="22"/>
              </w:rPr>
              <w:t>ETE525 Primary Technologies</w:t>
            </w:r>
          </w:p>
        </w:tc>
        <w:tc>
          <w:tcPr>
            <w:tcW w:w="427" w:type="dxa"/>
          </w:tcPr>
          <w:p w14:paraId="1F699399"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3885" w:type="dxa"/>
            <w:shd w:val="clear" w:color="auto" w:fill="auto"/>
          </w:tcPr>
          <w:p w14:paraId="305011A6"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hAnsi="Calibri Light" w:cs="Calibri Light"/>
                <w:szCs w:val="22"/>
              </w:rPr>
              <w:t>EPE528 Primary Professional Experience 1</w:t>
            </w:r>
          </w:p>
        </w:tc>
        <w:tc>
          <w:tcPr>
            <w:tcW w:w="394" w:type="dxa"/>
            <w:shd w:val="clear" w:color="auto" w:fill="auto"/>
          </w:tcPr>
          <w:p w14:paraId="0AC1E892"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4477" w:type="dxa"/>
            <w:shd w:val="clear" w:color="auto" w:fill="D9D9D9" w:themeFill="background1" w:themeFillShade="D9"/>
          </w:tcPr>
          <w:p w14:paraId="4C03E5A8" w14:textId="77777777" w:rsidR="00B408DD" w:rsidRPr="002303BB" w:rsidRDefault="00B408DD" w:rsidP="002303BB">
            <w:pPr>
              <w:rPr>
                <w:rFonts w:ascii="Calibri Light" w:eastAsia="Times New Roman" w:hAnsi="Calibri Light" w:cs="Calibri Light"/>
                <w:color w:val="4B4B4B"/>
                <w:szCs w:val="22"/>
                <w:lang w:val="en-AU" w:eastAsia="en-AU"/>
              </w:rPr>
            </w:pPr>
          </w:p>
        </w:tc>
        <w:tc>
          <w:tcPr>
            <w:tcW w:w="472" w:type="dxa"/>
            <w:shd w:val="clear" w:color="auto" w:fill="D9D9D9" w:themeFill="background1" w:themeFillShade="D9"/>
          </w:tcPr>
          <w:p w14:paraId="4C8E35D9" w14:textId="77777777" w:rsidR="00B408DD" w:rsidRPr="002303BB" w:rsidRDefault="00B408DD" w:rsidP="002303BB">
            <w:pPr>
              <w:rPr>
                <w:rFonts w:ascii="Calibri Light" w:eastAsia="Times New Roman" w:hAnsi="Calibri Light" w:cs="Calibri Light"/>
                <w:color w:val="4B4B4B"/>
                <w:szCs w:val="22"/>
                <w:lang w:val="en-AU" w:eastAsia="en-AU"/>
              </w:rPr>
            </w:pPr>
          </w:p>
        </w:tc>
      </w:tr>
      <w:tr w:rsidR="00B408DD" w:rsidRPr="002303BB" w14:paraId="5CA13D2B" w14:textId="77777777" w:rsidTr="00B408DD">
        <w:trPr>
          <w:tblCellSpacing w:w="15" w:type="dxa"/>
        </w:trPr>
        <w:tc>
          <w:tcPr>
            <w:tcW w:w="5019" w:type="dxa"/>
            <w:shd w:val="clear" w:color="auto" w:fill="D9D9D9" w:themeFill="background1" w:themeFillShade="D9"/>
          </w:tcPr>
          <w:p w14:paraId="59B1E2EA" w14:textId="77777777" w:rsidR="00B408DD" w:rsidRPr="002303BB" w:rsidRDefault="00B408DD" w:rsidP="002303BB">
            <w:pPr>
              <w:rPr>
                <w:rFonts w:ascii="Calibri Light" w:hAnsi="Calibri Light" w:cs="Calibri Light"/>
                <w:szCs w:val="22"/>
              </w:rPr>
            </w:pPr>
          </w:p>
        </w:tc>
        <w:tc>
          <w:tcPr>
            <w:tcW w:w="427" w:type="dxa"/>
            <w:shd w:val="clear" w:color="auto" w:fill="D9D9D9" w:themeFill="background1" w:themeFillShade="D9"/>
          </w:tcPr>
          <w:p w14:paraId="185B157C" w14:textId="77777777" w:rsidR="00B408DD" w:rsidRPr="002303BB" w:rsidRDefault="00B408DD" w:rsidP="002303BB">
            <w:pPr>
              <w:rPr>
                <w:rFonts w:ascii="Calibri Light" w:eastAsia="Times New Roman" w:hAnsi="Calibri Light" w:cs="Calibri Light"/>
                <w:color w:val="4B4B4B"/>
                <w:szCs w:val="22"/>
                <w:lang w:val="en-AU" w:eastAsia="en-AU"/>
              </w:rPr>
            </w:pPr>
          </w:p>
        </w:tc>
        <w:tc>
          <w:tcPr>
            <w:tcW w:w="3885" w:type="dxa"/>
            <w:shd w:val="clear" w:color="auto" w:fill="auto"/>
          </w:tcPr>
          <w:p w14:paraId="7953EDCA" w14:textId="77777777" w:rsidR="00B408DD" w:rsidRPr="002303BB" w:rsidRDefault="00B408DD" w:rsidP="002303BB">
            <w:pPr>
              <w:ind w:left="50" w:right="-103"/>
              <w:rPr>
                <w:rFonts w:ascii="Calibri Light" w:hAnsi="Calibri Light" w:cs="Calibri Light"/>
                <w:szCs w:val="22"/>
              </w:rPr>
            </w:pPr>
            <w:r w:rsidRPr="002303BB">
              <w:rPr>
                <w:rFonts w:ascii="Calibri Light" w:hAnsi="Calibri Light" w:cs="Calibri Light"/>
                <w:szCs w:val="22"/>
              </w:rPr>
              <w:t>LAN020 Literacy and Numeracy (LANTITE) (0cp)</w:t>
            </w:r>
          </w:p>
        </w:tc>
        <w:tc>
          <w:tcPr>
            <w:tcW w:w="394" w:type="dxa"/>
            <w:shd w:val="clear" w:color="auto" w:fill="auto"/>
          </w:tcPr>
          <w:p w14:paraId="23D663FB"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4477" w:type="dxa"/>
            <w:shd w:val="clear" w:color="auto" w:fill="D9D9D9" w:themeFill="background1" w:themeFillShade="D9"/>
          </w:tcPr>
          <w:p w14:paraId="72C668ED" w14:textId="77777777" w:rsidR="00B408DD" w:rsidRPr="002303BB" w:rsidRDefault="00B408DD" w:rsidP="002303BB">
            <w:pPr>
              <w:rPr>
                <w:rFonts w:ascii="Calibri Light" w:eastAsia="Times New Roman" w:hAnsi="Calibri Light" w:cs="Calibri Light"/>
                <w:color w:val="4B4B4B"/>
                <w:szCs w:val="22"/>
                <w:lang w:val="en-AU" w:eastAsia="en-AU"/>
              </w:rPr>
            </w:pPr>
          </w:p>
        </w:tc>
        <w:tc>
          <w:tcPr>
            <w:tcW w:w="472" w:type="dxa"/>
            <w:shd w:val="clear" w:color="auto" w:fill="D9D9D9" w:themeFill="background1" w:themeFillShade="D9"/>
          </w:tcPr>
          <w:p w14:paraId="40B436A5" w14:textId="77777777" w:rsidR="00B408DD" w:rsidRPr="002303BB" w:rsidRDefault="00B408DD" w:rsidP="002303BB">
            <w:pPr>
              <w:rPr>
                <w:rFonts w:ascii="Calibri Light" w:eastAsia="Times New Roman" w:hAnsi="Calibri Light" w:cs="Calibri Light"/>
                <w:color w:val="4B4B4B"/>
                <w:szCs w:val="22"/>
                <w:lang w:val="en-AU" w:eastAsia="en-AU"/>
              </w:rPr>
            </w:pPr>
          </w:p>
        </w:tc>
      </w:tr>
      <w:tr w:rsidR="00B408DD" w:rsidRPr="002303BB" w14:paraId="182C2A4A" w14:textId="77777777" w:rsidTr="00B408DD">
        <w:trPr>
          <w:tblCellSpacing w:w="15" w:type="dxa"/>
        </w:trPr>
        <w:tc>
          <w:tcPr>
            <w:tcW w:w="14824" w:type="dxa"/>
            <w:gridSpan w:val="6"/>
            <w:shd w:val="clear" w:color="auto" w:fill="BFBFBF" w:themeFill="background1" w:themeFillShade="BF"/>
          </w:tcPr>
          <w:p w14:paraId="30B483AC" w14:textId="77777777" w:rsidR="00B408DD" w:rsidRPr="002303BB" w:rsidRDefault="00B408DD" w:rsidP="002303BB">
            <w:pPr>
              <w:jc w:val="center"/>
              <w:rPr>
                <w:rFonts w:ascii="Calibri Light" w:eastAsia="Times New Roman" w:hAnsi="Calibri Light" w:cs="Calibri Light"/>
                <w:b/>
                <w:bCs/>
                <w:color w:val="4B4B4B"/>
                <w:szCs w:val="22"/>
                <w:lang w:val="en-AU" w:eastAsia="en-AU"/>
              </w:rPr>
            </w:pPr>
            <w:r w:rsidRPr="002303BB">
              <w:rPr>
                <w:rFonts w:ascii="Calibri Light" w:eastAsia="Times New Roman" w:hAnsi="Calibri Light" w:cs="Calibri Light"/>
                <w:b/>
                <w:bCs/>
                <w:szCs w:val="22"/>
                <w:lang w:val="en-AU" w:eastAsia="en-AU"/>
              </w:rPr>
              <w:t>Year 2</w:t>
            </w:r>
          </w:p>
        </w:tc>
      </w:tr>
      <w:tr w:rsidR="00B408DD" w:rsidRPr="002303BB" w14:paraId="711CAE76" w14:textId="77777777" w:rsidTr="00B408DD">
        <w:trPr>
          <w:tblCellSpacing w:w="15" w:type="dxa"/>
        </w:trPr>
        <w:tc>
          <w:tcPr>
            <w:tcW w:w="5019" w:type="dxa"/>
          </w:tcPr>
          <w:p w14:paraId="715F1353"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hAnsi="Calibri Light" w:cs="Calibri Light"/>
                <w:szCs w:val="22"/>
              </w:rPr>
              <w:t>ELA529 English Language and Literacy Assessment</w:t>
            </w:r>
          </w:p>
        </w:tc>
        <w:tc>
          <w:tcPr>
            <w:tcW w:w="427" w:type="dxa"/>
          </w:tcPr>
          <w:p w14:paraId="67754B10"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3885" w:type="dxa"/>
            <w:shd w:val="clear" w:color="auto" w:fill="auto"/>
            <w:vAlign w:val="center"/>
          </w:tcPr>
          <w:p w14:paraId="19CDA504"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hAnsi="Calibri Light" w:cs="Calibri Light"/>
                <w:szCs w:val="22"/>
              </w:rPr>
              <w:t>EPE635 Professional Experience: Assessment for Graduate Teachers</w:t>
            </w:r>
          </w:p>
        </w:tc>
        <w:tc>
          <w:tcPr>
            <w:tcW w:w="394" w:type="dxa"/>
            <w:shd w:val="clear" w:color="auto" w:fill="auto"/>
            <w:vAlign w:val="center"/>
          </w:tcPr>
          <w:p w14:paraId="01405C21"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4477" w:type="dxa"/>
            <w:shd w:val="clear" w:color="auto" w:fill="D9D9D9" w:themeFill="background1" w:themeFillShade="D9"/>
            <w:vAlign w:val="center"/>
          </w:tcPr>
          <w:p w14:paraId="1D1B1104" w14:textId="77777777" w:rsidR="00B408DD" w:rsidRPr="002303BB" w:rsidRDefault="00B408DD" w:rsidP="002303BB">
            <w:pPr>
              <w:rPr>
                <w:rFonts w:ascii="Calibri Light" w:eastAsia="Times New Roman" w:hAnsi="Calibri Light" w:cs="Calibri Light"/>
                <w:color w:val="4B4B4B"/>
                <w:szCs w:val="22"/>
                <w:lang w:val="en-AU" w:eastAsia="en-AU"/>
              </w:rPr>
            </w:pPr>
          </w:p>
        </w:tc>
        <w:tc>
          <w:tcPr>
            <w:tcW w:w="472" w:type="dxa"/>
            <w:shd w:val="clear" w:color="auto" w:fill="D9D9D9" w:themeFill="background1" w:themeFillShade="D9"/>
            <w:vAlign w:val="center"/>
          </w:tcPr>
          <w:p w14:paraId="326894AE" w14:textId="77777777" w:rsidR="00B408DD" w:rsidRPr="002303BB" w:rsidRDefault="00B408DD" w:rsidP="002303BB">
            <w:pPr>
              <w:rPr>
                <w:rFonts w:ascii="Calibri Light" w:eastAsia="Times New Roman" w:hAnsi="Calibri Light" w:cs="Calibri Light"/>
                <w:color w:val="4B4B4B"/>
                <w:szCs w:val="22"/>
                <w:lang w:val="en-AU" w:eastAsia="en-AU"/>
              </w:rPr>
            </w:pPr>
          </w:p>
        </w:tc>
      </w:tr>
      <w:tr w:rsidR="00B408DD" w:rsidRPr="002303BB" w14:paraId="64A4E172" w14:textId="77777777" w:rsidTr="00B408DD">
        <w:trPr>
          <w:tblCellSpacing w:w="15" w:type="dxa"/>
        </w:trPr>
        <w:tc>
          <w:tcPr>
            <w:tcW w:w="5019" w:type="dxa"/>
          </w:tcPr>
          <w:p w14:paraId="745DE5DA" w14:textId="5A467716" w:rsidR="00B408DD" w:rsidRPr="002303BB" w:rsidRDefault="00B408DD" w:rsidP="002303BB">
            <w:pPr>
              <w:rPr>
                <w:rFonts w:ascii="Calibri Light" w:eastAsia="Times New Roman" w:hAnsi="Calibri Light" w:cs="Calibri Light"/>
                <w:color w:val="4B4B4B"/>
                <w:szCs w:val="22"/>
                <w:lang w:val="en-AU" w:eastAsia="en-AU"/>
              </w:rPr>
            </w:pPr>
            <w:bookmarkStart w:id="4" w:name="_Hlk100655128"/>
            <w:r w:rsidRPr="002303BB">
              <w:rPr>
                <w:rFonts w:ascii="Calibri Light" w:hAnsi="Calibri Light" w:cs="Calibri Light"/>
                <w:szCs w:val="22"/>
              </w:rPr>
              <w:t>ESC520 Science</w:t>
            </w:r>
            <w:bookmarkEnd w:id="4"/>
            <w:r w:rsidRPr="002303BB">
              <w:rPr>
                <w:rFonts w:ascii="Calibri Light" w:hAnsi="Calibri Light" w:cs="Calibri Light"/>
                <w:szCs w:val="22"/>
              </w:rPr>
              <w:t xml:space="preserve"> Curriculum and Pedagogy</w:t>
            </w:r>
          </w:p>
        </w:tc>
        <w:tc>
          <w:tcPr>
            <w:tcW w:w="427" w:type="dxa"/>
          </w:tcPr>
          <w:p w14:paraId="5147E3E4"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3885" w:type="dxa"/>
            <w:shd w:val="clear" w:color="auto" w:fill="auto"/>
            <w:vAlign w:val="center"/>
          </w:tcPr>
          <w:p w14:paraId="4DFE79DE"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hAnsi="Calibri Light" w:cs="Calibri Light"/>
                <w:szCs w:val="22"/>
              </w:rPr>
              <w:t>ECU503 Health and Physical Education</w:t>
            </w:r>
          </w:p>
        </w:tc>
        <w:tc>
          <w:tcPr>
            <w:tcW w:w="394" w:type="dxa"/>
            <w:shd w:val="clear" w:color="auto" w:fill="auto"/>
          </w:tcPr>
          <w:p w14:paraId="369623E6"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4477" w:type="dxa"/>
            <w:shd w:val="clear" w:color="auto" w:fill="D9D9D9" w:themeFill="background1" w:themeFillShade="D9"/>
            <w:vAlign w:val="center"/>
          </w:tcPr>
          <w:p w14:paraId="38EBF7C3" w14:textId="77777777" w:rsidR="00B408DD" w:rsidRPr="002303BB" w:rsidRDefault="00B408DD" w:rsidP="002303BB">
            <w:pPr>
              <w:rPr>
                <w:rFonts w:ascii="Calibri Light" w:eastAsia="Times New Roman" w:hAnsi="Calibri Light" w:cs="Calibri Light"/>
                <w:color w:val="4B4B4B"/>
                <w:szCs w:val="22"/>
                <w:lang w:val="en-AU" w:eastAsia="en-AU"/>
              </w:rPr>
            </w:pPr>
          </w:p>
        </w:tc>
        <w:tc>
          <w:tcPr>
            <w:tcW w:w="472" w:type="dxa"/>
            <w:shd w:val="clear" w:color="auto" w:fill="D9D9D9" w:themeFill="background1" w:themeFillShade="D9"/>
            <w:vAlign w:val="center"/>
          </w:tcPr>
          <w:p w14:paraId="4F8CB913" w14:textId="77777777" w:rsidR="00B408DD" w:rsidRPr="002303BB" w:rsidRDefault="00B408DD" w:rsidP="002303BB">
            <w:pPr>
              <w:rPr>
                <w:rFonts w:ascii="Calibri Light" w:eastAsia="Times New Roman" w:hAnsi="Calibri Light" w:cs="Calibri Light"/>
                <w:color w:val="4B4B4B"/>
                <w:szCs w:val="22"/>
                <w:lang w:val="en-AU" w:eastAsia="en-AU"/>
              </w:rPr>
            </w:pPr>
          </w:p>
        </w:tc>
      </w:tr>
      <w:tr w:rsidR="00B408DD" w:rsidRPr="002303BB" w14:paraId="191C7E58" w14:textId="77777777" w:rsidTr="00B408DD">
        <w:trPr>
          <w:tblCellSpacing w:w="15" w:type="dxa"/>
        </w:trPr>
        <w:tc>
          <w:tcPr>
            <w:tcW w:w="5019" w:type="dxa"/>
          </w:tcPr>
          <w:p w14:paraId="2469C090" w14:textId="77777777" w:rsidR="00B408DD" w:rsidRPr="002303BB" w:rsidRDefault="00B408DD" w:rsidP="002303BB">
            <w:pPr>
              <w:ind w:right="-103"/>
              <w:rPr>
                <w:rFonts w:ascii="Calibri Light" w:hAnsi="Calibri Light" w:cs="Calibri Light"/>
                <w:szCs w:val="22"/>
              </w:rPr>
            </w:pPr>
            <w:r w:rsidRPr="002303BB">
              <w:rPr>
                <w:rFonts w:ascii="Calibri Light" w:hAnsi="Calibri Light" w:cs="Calibri Light"/>
                <w:szCs w:val="22"/>
                <w:shd w:val="clear" w:color="auto" w:fill="FFFFFF"/>
              </w:rPr>
              <w:t>EIE501 Inclusive Education, Policies and Practice</w:t>
            </w:r>
          </w:p>
        </w:tc>
        <w:tc>
          <w:tcPr>
            <w:tcW w:w="427" w:type="dxa"/>
          </w:tcPr>
          <w:p w14:paraId="080D083E"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3885" w:type="dxa"/>
            <w:shd w:val="clear" w:color="auto" w:fill="auto"/>
          </w:tcPr>
          <w:p w14:paraId="7701E147"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hAnsi="Calibri Light" w:cs="Calibri Light"/>
                <w:szCs w:val="22"/>
              </w:rPr>
              <w:t>ECU510 Primary Arts</w:t>
            </w:r>
          </w:p>
        </w:tc>
        <w:tc>
          <w:tcPr>
            <w:tcW w:w="394" w:type="dxa"/>
            <w:shd w:val="clear" w:color="auto" w:fill="auto"/>
          </w:tcPr>
          <w:p w14:paraId="1E2C47D2"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4477" w:type="dxa"/>
            <w:shd w:val="clear" w:color="auto" w:fill="D9D9D9" w:themeFill="background1" w:themeFillShade="D9"/>
            <w:vAlign w:val="center"/>
          </w:tcPr>
          <w:p w14:paraId="23CC13D7" w14:textId="77777777" w:rsidR="00B408DD" w:rsidRPr="002303BB" w:rsidRDefault="00B408DD" w:rsidP="002303BB">
            <w:pPr>
              <w:rPr>
                <w:rFonts w:ascii="Calibri Light" w:eastAsia="Times New Roman" w:hAnsi="Calibri Light" w:cs="Calibri Light"/>
                <w:color w:val="4B4B4B"/>
                <w:szCs w:val="22"/>
                <w:lang w:val="en-AU" w:eastAsia="en-AU"/>
              </w:rPr>
            </w:pPr>
          </w:p>
        </w:tc>
        <w:tc>
          <w:tcPr>
            <w:tcW w:w="472" w:type="dxa"/>
            <w:shd w:val="clear" w:color="auto" w:fill="D9D9D9" w:themeFill="background1" w:themeFillShade="D9"/>
            <w:vAlign w:val="center"/>
          </w:tcPr>
          <w:p w14:paraId="6721DCB2" w14:textId="77777777" w:rsidR="00B408DD" w:rsidRPr="002303BB" w:rsidRDefault="00B408DD" w:rsidP="002303BB">
            <w:pPr>
              <w:rPr>
                <w:rFonts w:ascii="Calibri Light" w:eastAsia="Times New Roman" w:hAnsi="Calibri Light" w:cs="Calibri Light"/>
                <w:color w:val="4B4B4B"/>
                <w:szCs w:val="22"/>
                <w:lang w:val="en-AU" w:eastAsia="en-AU"/>
              </w:rPr>
            </w:pPr>
          </w:p>
        </w:tc>
      </w:tr>
      <w:tr w:rsidR="00B408DD" w:rsidRPr="002303BB" w14:paraId="77DB6A80" w14:textId="77777777" w:rsidTr="00B408DD">
        <w:trPr>
          <w:tblCellSpacing w:w="15" w:type="dxa"/>
        </w:trPr>
        <w:tc>
          <w:tcPr>
            <w:tcW w:w="5019" w:type="dxa"/>
            <w:shd w:val="clear" w:color="auto" w:fill="auto"/>
          </w:tcPr>
          <w:p w14:paraId="7527BC19"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hAnsi="Calibri Light" w:cs="Calibri Light"/>
                <w:szCs w:val="22"/>
              </w:rPr>
              <w:t>ECU502 Primary Humanities</w:t>
            </w:r>
          </w:p>
        </w:tc>
        <w:tc>
          <w:tcPr>
            <w:tcW w:w="427" w:type="dxa"/>
            <w:shd w:val="clear" w:color="auto" w:fill="auto"/>
          </w:tcPr>
          <w:p w14:paraId="10680BE3" w14:textId="77777777" w:rsidR="00B408DD" w:rsidRPr="002303BB" w:rsidRDefault="00B408DD" w:rsidP="002303BB">
            <w:pPr>
              <w:rPr>
                <w:rFonts w:ascii="Calibri Light" w:eastAsia="Times New Roman" w:hAnsi="Calibri Light" w:cs="Calibri Light"/>
                <w:color w:val="4B4B4B"/>
                <w:szCs w:val="22"/>
                <w:lang w:val="en-AU" w:eastAsia="en-AU"/>
              </w:rPr>
            </w:pPr>
            <w:r w:rsidRPr="002303BB">
              <w:rPr>
                <w:rFonts w:ascii="Calibri Light" w:eastAsia="Times New Roman" w:hAnsi="Calibri Light" w:cs="Calibri Light"/>
                <w:color w:val="4B4B4B"/>
                <w:szCs w:val="22"/>
                <w:lang w:val="en-AU" w:eastAsia="en-AU"/>
              </w:rPr>
              <w:t>CO</w:t>
            </w:r>
          </w:p>
        </w:tc>
        <w:tc>
          <w:tcPr>
            <w:tcW w:w="3885" w:type="dxa"/>
            <w:shd w:val="clear" w:color="auto" w:fill="D9D9D9" w:themeFill="background1" w:themeFillShade="D9"/>
          </w:tcPr>
          <w:p w14:paraId="029CC03C" w14:textId="77777777" w:rsidR="00B408DD" w:rsidRPr="002303BB" w:rsidRDefault="00B408DD" w:rsidP="002303BB">
            <w:pPr>
              <w:rPr>
                <w:rFonts w:ascii="Calibri Light" w:eastAsia="Times New Roman" w:hAnsi="Calibri Light" w:cs="Calibri Light"/>
                <w:color w:val="4B4B4B"/>
                <w:szCs w:val="22"/>
                <w:lang w:val="en-AU" w:eastAsia="en-AU"/>
              </w:rPr>
            </w:pPr>
          </w:p>
        </w:tc>
        <w:tc>
          <w:tcPr>
            <w:tcW w:w="394" w:type="dxa"/>
            <w:shd w:val="clear" w:color="auto" w:fill="D9D9D9" w:themeFill="background1" w:themeFillShade="D9"/>
            <w:vAlign w:val="center"/>
          </w:tcPr>
          <w:p w14:paraId="52877D2F" w14:textId="77777777" w:rsidR="00B408DD" w:rsidRPr="002303BB" w:rsidRDefault="00B408DD" w:rsidP="002303BB">
            <w:pPr>
              <w:rPr>
                <w:rFonts w:ascii="Calibri Light" w:eastAsia="Times New Roman" w:hAnsi="Calibri Light" w:cs="Calibri Light"/>
                <w:color w:val="4B4B4B"/>
                <w:szCs w:val="22"/>
                <w:lang w:val="en-AU" w:eastAsia="en-AU"/>
              </w:rPr>
            </w:pPr>
          </w:p>
        </w:tc>
        <w:tc>
          <w:tcPr>
            <w:tcW w:w="4477" w:type="dxa"/>
            <w:shd w:val="clear" w:color="auto" w:fill="D9D9D9" w:themeFill="background1" w:themeFillShade="D9"/>
            <w:vAlign w:val="center"/>
          </w:tcPr>
          <w:p w14:paraId="32DA678B" w14:textId="77777777" w:rsidR="00B408DD" w:rsidRPr="002303BB" w:rsidRDefault="00B408DD" w:rsidP="002303BB">
            <w:pPr>
              <w:rPr>
                <w:rFonts w:ascii="Calibri Light" w:eastAsia="Times New Roman" w:hAnsi="Calibri Light" w:cs="Calibri Light"/>
                <w:color w:val="4B4B4B"/>
                <w:szCs w:val="22"/>
                <w:lang w:val="en-AU" w:eastAsia="en-AU"/>
              </w:rPr>
            </w:pPr>
          </w:p>
        </w:tc>
        <w:tc>
          <w:tcPr>
            <w:tcW w:w="472" w:type="dxa"/>
            <w:shd w:val="clear" w:color="auto" w:fill="D9D9D9" w:themeFill="background1" w:themeFillShade="D9"/>
            <w:vAlign w:val="center"/>
          </w:tcPr>
          <w:p w14:paraId="7FC30673" w14:textId="77777777" w:rsidR="00B408DD" w:rsidRPr="002303BB" w:rsidRDefault="00B408DD" w:rsidP="002303BB">
            <w:pPr>
              <w:rPr>
                <w:rFonts w:ascii="Calibri Light" w:eastAsia="Times New Roman" w:hAnsi="Calibri Light" w:cs="Calibri Light"/>
                <w:color w:val="4B4B4B"/>
                <w:szCs w:val="22"/>
                <w:lang w:val="en-AU" w:eastAsia="en-AU"/>
              </w:rPr>
            </w:pPr>
          </w:p>
        </w:tc>
      </w:tr>
    </w:tbl>
    <w:p w14:paraId="67387BC0" w14:textId="77777777" w:rsidR="00B408DD" w:rsidRPr="002303BB" w:rsidRDefault="00B408DD" w:rsidP="002303BB">
      <w:pPr>
        <w:rPr>
          <w:rFonts w:ascii="Calibri Light" w:eastAsia="Times New Roman" w:hAnsi="Calibri Light" w:cs="Calibri Light"/>
          <w:color w:val="000000"/>
          <w:szCs w:val="22"/>
          <w:lang w:val="en-GB" w:eastAsia="en-GB"/>
        </w:rPr>
      </w:pPr>
    </w:p>
    <w:p w14:paraId="7B7CD79B" w14:textId="77777777" w:rsidR="00B408DD" w:rsidRPr="002303BB" w:rsidRDefault="00B408DD" w:rsidP="002303BB">
      <w:pPr>
        <w:rPr>
          <w:rFonts w:ascii="Calibri Light" w:eastAsia="Times New Roman" w:hAnsi="Calibri Light" w:cs="Calibri Light"/>
          <w:color w:val="000000"/>
          <w:szCs w:val="22"/>
          <w:lang w:val="en-GB" w:eastAsia="en-GB"/>
        </w:rPr>
      </w:pPr>
    </w:p>
    <w:sectPr w:rsidR="00B408DD" w:rsidRPr="002303BB" w:rsidSect="00B408DD">
      <w:headerReference w:type="first" r:id="rId25"/>
      <w:footerReference w:type="first" r:id="rId26"/>
      <w:pgSz w:w="16840" w:h="11900" w:orient="landscape"/>
      <w:pgMar w:top="1315" w:right="1315" w:bottom="1315" w:left="1701"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496EA" w14:textId="77777777" w:rsidR="00F260F3" w:rsidRDefault="00F260F3" w:rsidP="00452E05">
      <w:r>
        <w:separator/>
      </w:r>
    </w:p>
  </w:endnote>
  <w:endnote w:type="continuationSeparator" w:id="0">
    <w:p w14:paraId="6CD99AE1" w14:textId="77777777" w:rsidR="00F260F3" w:rsidRDefault="00F260F3"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0CF820EB" w14:textId="2468A00B" w:rsidR="00B465BA" w:rsidRPr="00390832" w:rsidRDefault="002303BB" w:rsidP="00390832">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FB2838">
          <w:rPr>
            <w:rFonts w:cstheme="majorHAnsi"/>
            <w:b/>
            <w:bCs/>
            <w:noProof/>
            <w:color w:val="000000" w:themeColor="text1"/>
            <w:sz w:val="24"/>
            <w:lang w:val="en-GB"/>
          </w:rPr>
          <w:t>6</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FB2838">
          <w:rPr>
            <w:rFonts w:cstheme="majorHAnsi"/>
            <w:b/>
            <w:bCs/>
            <w:noProof/>
            <w:color w:val="000000" w:themeColor="text1"/>
            <w:sz w:val="24"/>
            <w:lang w:val="en-GB"/>
          </w:rPr>
          <w:t>9</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1E5F" w14:textId="37A999F8" w:rsidR="003C091D" w:rsidRPr="00EC2C66" w:rsidRDefault="002303BB" w:rsidP="002303BB">
    <w:pPr>
      <w:pStyle w:val="BasicParagraph"/>
      <w:tabs>
        <w:tab w:val="left" w:pos="1590"/>
        <w:tab w:val="right" w:pos="8222"/>
      </w:tabs>
      <w:suppressAutoHyphens/>
      <w:spacing w:line="276" w:lineRule="auto"/>
      <w:ind w:right="1048"/>
      <w:rPr>
        <w:rFonts w:cs="DIN-Light"/>
        <w:color w:val="3D3D3D"/>
        <w:sz w:val="16"/>
        <w:szCs w:val="16"/>
      </w:rPr>
    </w:pPr>
    <w:r w:rsidRPr="002303BB">
      <w:rPr>
        <w:rFonts w:cstheme="majorHAnsi"/>
        <w:b/>
        <w:bCs/>
        <w:color w:val="000000" w:themeColor="text1"/>
        <w:sz w:val="24"/>
        <w:lang w:val="en-GB"/>
      </w:rPr>
      <w:t xml:space="preserve">Page </w:t>
    </w:r>
    <w:r w:rsidRPr="002303BB">
      <w:rPr>
        <w:rFonts w:cstheme="majorHAnsi"/>
        <w:b/>
        <w:bCs/>
        <w:color w:val="000000" w:themeColor="text1"/>
        <w:sz w:val="24"/>
        <w:lang w:val="en-GB"/>
      </w:rPr>
      <w:fldChar w:fldCharType="begin"/>
    </w:r>
    <w:r w:rsidRPr="002303BB">
      <w:rPr>
        <w:rFonts w:cstheme="majorHAnsi"/>
        <w:b/>
        <w:bCs/>
        <w:color w:val="000000" w:themeColor="text1"/>
        <w:sz w:val="24"/>
        <w:lang w:val="en-GB"/>
      </w:rPr>
      <w:instrText xml:space="preserve"> PAGE  \* Arabic  \* MERGEFORMAT </w:instrText>
    </w:r>
    <w:r w:rsidRPr="002303BB">
      <w:rPr>
        <w:rFonts w:cstheme="majorHAnsi"/>
        <w:b/>
        <w:bCs/>
        <w:color w:val="000000" w:themeColor="text1"/>
        <w:sz w:val="24"/>
        <w:lang w:val="en-GB"/>
      </w:rPr>
      <w:fldChar w:fldCharType="separate"/>
    </w:r>
    <w:r w:rsidR="00FB2838">
      <w:rPr>
        <w:rFonts w:cstheme="majorHAnsi"/>
        <w:b/>
        <w:bCs/>
        <w:noProof/>
        <w:color w:val="000000" w:themeColor="text1"/>
        <w:sz w:val="24"/>
        <w:lang w:val="en-GB"/>
      </w:rPr>
      <w:t>1</w:t>
    </w:r>
    <w:r w:rsidRPr="002303BB">
      <w:rPr>
        <w:rFonts w:cstheme="majorHAnsi"/>
        <w:b/>
        <w:bCs/>
        <w:color w:val="000000" w:themeColor="text1"/>
        <w:sz w:val="24"/>
        <w:lang w:val="en-GB"/>
      </w:rPr>
      <w:fldChar w:fldCharType="end"/>
    </w:r>
    <w:r w:rsidRPr="002303BB">
      <w:rPr>
        <w:rFonts w:cstheme="majorHAnsi"/>
        <w:b/>
        <w:bCs/>
        <w:color w:val="000000" w:themeColor="text1"/>
        <w:sz w:val="24"/>
        <w:lang w:val="en-GB"/>
      </w:rPr>
      <w:t xml:space="preserve"> of </w:t>
    </w:r>
    <w:r w:rsidRPr="002303BB">
      <w:rPr>
        <w:rFonts w:cstheme="majorHAnsi"/>
        <w:b/>
        <w:bCs/>
        <w:color w:val="000000" w:themeColor="text1"/>
        <w:sz w:val="24"/>
        <w:lang w:val="en-GB"/>
      </w:rPr>
      <w:fldChar w:fldCharType="begin"/>
    </w:r>
    <w:r w:rsidRPr="002303BB">
      <w:rPr>
        <w:rFonts w:cstheme="majorHAnsi"/>
        <w:b/>
        <w:bCs/>
        <w:color w:val="000000" w:themeColor="text1"/>
        <w:sz w:val="24"/>
        <w:lang w:val="en-GB"/>
      </w:rPr>
      <w:instrText xml:space="preserve"> NUMPAGES  \* Arabic  \* MERGEFORMAT </w:instrText>
    </w:r>
    <w:r w:rsidRPr="002303BB">
      <w:rPr>
        <w:rFonts w:cstheme="majorHAnsi"/>
        <w:b/>
        <w:bCs/>
        <w:color w:val="000000" w:themeColor="text1"/>
        <w:sz w:val="24"/>
        <w:lang w:val="en-GB"/>
      </w:rPr>
      <w:fldChar w:fldCharType="separate"/>
    </w:r>
    <w:r w:rsidR="00FB2838">
      <w:rPr>
        <w:rFonts w:cstheme="majorHAnsi"/>
        <w:b/>
        <w:bCs/>
        <w:noProof/>
        <w:color w:val="000000" w:themeColor="text1"/>
        <w:sz w:val="24"/>
        <w:lang w:val="en-GB"/>
      </w:rPr>
      <w:t>9</w:t>
    </w:r>
    <w:r w:rsidRPr="002303BB">
      <w:rPr>
        <w:rFonts w:cstheme="majorHAnsi"/>
        <w:b/>
        <w:bCs/>
        <w:color w:val="000000" w:themeColor="text1"/>
        <w:sz w:val="24"/>
        <w:lang w:val="en-GB"/>
      </w:rPr>
      <w:fldChar w:fldCharType="end"/>
    </w:r>
    <w:r>
      <w:rPr>
        <w:rFonts w:cstheme="majorHAnsi"/>
        <w:b/>
        <w:bCs/>
        <w:color w:val="000000" w:themeColor="text1"/>
        <w:sz w:val="24"/>
        <w:lang w:val="en-GB"/>
      </w:rPr>
      <w:tab/>
    </w:r>
    <w:r w:rsidR="00FB2838">
      <w:rPr>
        <w:i/>
        <w:color w:val="auto"/>
        <w:sz w:val="20"/>
      </w:rPr>
      <w:t>v2</w:t>
    </w:r>
    <w:r w:rsidR="00390832">
      <w:rPr>
        <w:i/>
        <w:color w:val="auto"/>
        <w:sz w:val="20"/>
      </w:rPr>
      <w:t>.23.1.23</w:t>
    </w:r>
    <w:r>
      <w:rPr>
        <w:rFonts w:cstheme="majorHAnsi"/>
        <w:b/>
        <w:bCs/>
        <w:color w:val="000000" w:themeColor="text1"/>
        <w:sz w:val="24"/>
        <w:lang w:val="en-GB"/>
      </w:rPr>
      <w:tab/>
    </w:r>
    <w:r w:rsidR="00EE331B">
      <w:rPr>
        <w:rFonts w:cstheme="majorHAnsi"/>
        <w:b/>
        <w:bCs/>
        <w:color w:val="000000" w:themeColor="text1"/>
        <w:sz w:val="24"/>
        <w:lang w:val="en-GB"/>
      </w:rPr>
      <w:t>Faculty of Arts and Society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FD1BB" w14:textId="3601590F" w:rsidR="003C091D" w:rsidRPr="002303BB" w:rsidRDefault="00F260F3" w:rsidP="00F826AF">
    <w:pPr>
      <w:pStyle w:val="Footer"/>
      <w:jc w:val="center"/>
    </w:pPr>
    <w:sdt>
      <w:sdtPr>
        <w:id w:val="-198707136"/>
        <w:docPartObj>
          <w:docPartGallery w:val="Page Numbers (Bottom of Page)"/>
          <w:docPartUnique/>
        </w:docPartObj>
      </w:sdtPr>
      <w:sdtEndPr>
        <w:rPr>
          <w:noProof/>
        </w:rPr>
      </w:sdtEndPr>
      <w:sdtContent>
        <w:r w:rsidR="002303BB">
          <w:t xml:space="preserve">Page </w:t>
        </w:r>
        <w:r w:rsidR="002303BB">
          <w:rPr>
            <w:b/>
            <w:bCs/>
          </w:rPr>
          <w:fldChar w:fldCharType="begin"/>
        </w:r>
        <w:r w:rsidR="002303BB">
          <w:rPr>
            <w:b/>
            <w:bCs/>
          </w:rPr>
          <w:instrText xml:space="preserve"> PAGE  \* Arabic  \* MERGEFORMAT </w:instrText>
        </w:r>
        <w:r w:rsidR="002303BB">
          <w:rPr>
            <w:b/>
            <w:bCs/>
          </w:rPr>
          <w:fldChar w:fldCharType="separate"/>
        </w:r>
        <w:r w:rsidR="00FB2838">
          <w:rPr>
            <w:b/>
            <w:bCs/>
            <w:noProof/>
          </w:rPr>
          <w:t>9</w:t>
        </w:r>
        <w:r w:rsidR="002303BB">
          <w:rPr>
            <w:b/>
            <w:bCs/>
          </w:rPr>
          <w:fldChar w:fldCharType="end"/>
        </w:r>
        <w:r w:rsidR="002303BB">
          <w:t xml:space="preserve"> of </w:t>
        </w:r>
        <w:r w:rsidR="002303BB">
          <w:rPr>
            <w:b/>
            <w:bCs/>
          </w:rPr>
          <w:fldChar w:fldCharType="begin"/>
        </w:r>
        <w:r w:rsidR="002303BB">
          <w:rPr>
            <w:b/>
            <w:bCs/>
          </w:rPr>
          <w:instrText xml:space="preserve"> NUMPAGES  \* Arabic  \* MERGEFORMAT </w:instrText>
        </w:r>
        <w:r w:rsidR="002303BB">
          <w:rPr>
            <w:b/>
            <w:bCs/>
          </w:rPr>
          <w:fldChar w:fldCharType="separate"/>
        </w:r>
        <w:r w:rsidR="00FB2838">
          <w:rPr>
            <w:b/>
            <w:bCs/>
            <w:noProof/>
          </w:rPr>
          <w:t>9</w:t>
        </w:r>
        <w:r w:rsidR="002303BB">
          <w:rPr>
            <w:b/>
            <w:bCs/>
          </w:rPr>
          <w:fldChar w:fldCharType="end"/>
        </w:r>
        <w:r w:rsidR="002303BB">
          <w:rPr>
            <w:b/>
            <w:bCs/>
          </w:rPr>
          <w:t xml:space="preserve">  </w:t>
        </w:r>
        <w:r w:rsidR="002303BB">
          <w:rPr>
            <w:b/>
            <w:bCs/>
          </w:rPr>
          <w:tab/>
        </w:r>
        <w:r w:rsidR="002303BB">
          <w:rPr>
            <w:b/>
            <w:bCs/>
          </w:rPr>
          <w:tab/>
        </w:r>
      </w:sdtContent>
    </w:sdt>
    <w:r w:rsidR="00F826AF">
      <w:rPr>
        <w:rFonts w:cstheme="majorHAnsi"/>
        <w:b/>
        <w:bCs/>
        <w:sz w:val="20"/>
        <w:szCs w:val="20"/>
        <w:lang w:val="en-GB"/>
      </w:rPr>
      <w:t>Faculty of Arts and Society</w:t>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38A07" w14:textId="77777777" w:rsidR="00F260F3" w:rsidRDefault="00F260F3" w:rsidP="00452E05">
      <w:r>
        <w:separator/>
      </w:r>
    </w:p>
  </w:footnote>
  <w:footnote w:type="continuationSeparator" w:id="0">
    <w:p w14:paraId="613CFB52" w14:textId="77777777" w:rsidR="00F260F3" w:rsidRDefault="00F260F3"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95F40" w14:textId="77777777" w:rsidR="003C091D" w:rsidRDefault="00F260F3">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B750" w14:textId="793782F1" w:rsidR="001902BB" w:rsidRPr="00237977" w:rsidRDefault="00F505C2" w:rsidP="005C4767">
    <w:pPr>
      <w:pStyle w:val="Heading1"/>
      <w:spacing w:before="0" w:after="0"/>
      <w:ind w:right="-795"/>
      <w:rPr>
        <w:sz w:val="24"/>
        <w:szCs w:val="28"/>
      </w:rPr>
    </w:pPr>
    <w:r w:rsidRPr="00237977">
      <w:rPr>
        <w:sz w:val="24"/>
        <w:szCs w:val="28"/>
      </w:rPr>
      <w:t>Requirements and Guidelines</w:t>
    </w:r>
    <w:r w:rsidR="00FD128E" w:rsidRPr="00237977">
      <w:rPr>
        <w:sz w:val="24"/>
        <w:szCs w:val="28"/>
      </w:rPr>
      <w:t>: EPE</w:t>
    </w:r>
    <w:r w:rsidR="005C4767">
      <w:rPr>
        <w:sz w:val="24"/>
        <w:szCs w:val="28"/>
      </w:rPr>
      <w:t>635</w:t>
    </w:r>
    <w:r w:rsidR="00D93885" w:rsidRPr="00237977">
      <w:rPr>
        <w:sz w:val="24"/>
        <w:szCs w:val="28"/>
      </w:rPr>
      <w:t xml:space="preserve"> </w:t>
    </w:r>
    <w:r w:rsidR="005C4767" w:rsidRPr="005C4767">
      <w:rPr>
        <w:sz w:val="24"/>
        <w:szCs w:val="28"/>
      </w:rPr>
      <w:t>Professional Experience: Assessment for Graduate Teachers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B390" w14:textId="77777777" w:rsidR="003C091D" w:rsidRDefault="003C091D">
    <w:pPr>
      <w:pStyle w:val="Header"/>
    </w:pPr>
    <w:r>
      <w:rPr>
        <w:noProof/>
        <w:lang w:val="en-AU" w:eastAsia="en-AU"/>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5D52AE6D" w:rsidR="003C091D" w:rsidRPr="00721792" w:rsidRDefault="003C091D" w:rsidP="00721792">
    <w:pPr>
      <w:pStyle w:val="Heading1"/>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F1616"/>
    <w:multiLevelType w:val="hybridMultilevel"/>
    <w:tmpl w:val="6EF07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B0B18"/>
    <w:multiLevelType w:val="hybridMultilevel"/>
    <w:tmpl w:val="F8E05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67CBC"/>
    <w:multiLevelType w:val="hybridMultilevel"/>
    <w:tmpl w:val="AA947F74"/>
    <w:lvl w:ilvl="0" w:tplc="A2B6B79E">
      <w:numFmt w:val="bullet"/>
      <w:lvlText w:val=""/>
      <w:lvlJc w:val="left"/>
      <w:pPr>
        <w:ind w:left="1080" w:hanging="360"/>
      </w:pPr>
      <w:rPr>
        <w:rFonts w:ascii="Symbol" w:eastAsiaTheme="minorEastAsia" w:hAnsi="Symbol" w:cstheme="majorHAnsi"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BE27027"/>
    <w:multiLevelType w:val="hybridMultilevel"/>
    <w:tmpl w:val="913086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39C6EFD"/>
    <w:multiLevelType w:val="multilevel"/>
    <w:tmpl w:val="6C7A0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FF2D47"/>
    <w:multiLevelType w:val="hybridMultilevel"/>
    <w:tmpl w:val="87F657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A8A65E2"/>
    <w:multiLevelType w:val="hybridMultilevel"/>
    <w:tmpl w:val="378093C2"/>
    <w:lvl w:ilvl="0" w:tplc="FFFFFFFF">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A8123D"/>
    <w:multiLevelType w:val="hybridMultilevel"/>
    <w:tmpl w:val="E2E4C64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104AB9"/>
    <w:multiLevelType w:val="multilevel"/>
    <w:tmpl w:val="A1466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4"/>
  </w:num>
  <w:num w:numId="6">
    <w:abstractNumId w:val="3"/>
  </w:num>
  <w:num w:numId="7">
    <w:abstractNumId w:val="10"/>
  </w:num>
  <w:num w:numId="8">
    <w:abstractNumId w:val="7"/>
  </w:num>
  <w:num w:numId="9">
    <w:abstractNumId w:val="2"/>
  </w:num>
  <w:num w:numId="10">
    <w:abstractNumId w:val="1"/>
  </w:num>
  <w:num w:numId="11">
    <w:abstractNumId w:val="12"/>
  </w:num>
  <w:num w:numId="12">
    <w:abstractNumId w:val="5"/>
  </w:num>
  <w:num w:numId="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tPPJydktdgzEV4hI0CeQ7RFAELOFpbqhgD5Hq+KcuS1s/kDjFEMEWNKYg1h1LkZp+o51QTXGuipio8OUnGsNA==" w:salt="91sXTiqqOPE92gjk5rTV/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BB"/>
    <w:rsid w:val="00007598"/>
    <w:rsid w:val="00014EAB"/>
    <w:rsid w:val="00015FEA"/>
    <w:rsid w:val="00024C4C"/>
    <w:rsid w:val="000332D9"/>
    <w:rsid w:val="00047135"/>
    <w:rsid w:val="0005032C"/>
    <w:rsid w:val="00054A92"/>
    <w:rsid w:val="000607CC"/>
    <w:rsid w:val="00073736"/>
    <w:rsid w:val="0009532B"/>
    <w:rsid w:val="000D163E"/>
    <w:rsid w:val="000D174B"/>
    <w:rsid w:val="000D6105"/>
    <w:rsid w:val="000E0786"/>
    <w:rsid w:val="000E1CB3"/>
    <w:rsid w:val="000E7B44"/>
    <w:rsid w:val="000F6FBA"/>
    <w:rsid w:val="00126ED8"/>
    <w:rsid w:val="00127477"/>
    <w:rsid w:val="00184206"/>
    <w:rsid w:val="001902BB"/>
    <w:rsid w:val="0019204B"/>
    <w:rsid w:val="001942A0"/>
    <w:rsid w:val="001B5BCC"/>
    <w:rsid w:val="001C11FA"/>
    <w:rsid w:val="001E1067"/>
    <w:rsid w:val="001E1F33"/>
    <w:rsid w:val="001F6BC7"/>
    <w:rsid w:val="002010EA"/>
    <w:rsid w:val="0021239F"/>
    <w:rsid w:val="00213FCF"/>
    <w:rsid w:val="00221655"/>
    <w:rsid w:val="002303BB"/>
    <w:rsid w:val="00237977"/>
    <w:rsid w:val="002427B4"/>
    <w:rsid w:val="002675D8"/>
    <w:rsid w:val="00270850"/>
    <w:rsid w:val="00275EF4"/>
    <w:rsid w:val="0029790B"/>
    <w:rsid w:val="002C058D"/>
    <w:rsid w:val="002C661C"/>
    <w:rsid w:val="002E3D4F"/>
    <w:rsid w:val="002E3F50"/>
    <w:rsid w:val="002E72B6"/>
    <w:rsid w:val="002E7A80"/>
    <w:rsid w:val="003036EA"/>
    <w:rsid w:val="00303C9B"/>
    <w:rsid w:val="0030563E"/>
    <w:rsid w:val="00342C42"/>
    <w:rsid w:val="00347E6A"/>
    <w:rsid w:val="00364A08"/>
    <w:rsid w:val="0037485F"/>
    <w:rsid w:val="00384C2A"/>
    <w:rsid w:val="00390832"/>
    <w:rsid w:val="00392FE7"/>
    <w:rsid w:val="00396049"/>
    <w:rsid w:val="00396266"/>
    <w:rsid w:val="00397830"/>
    <w:rsid w:val="003A5D2A"/>
    <w:rsid w:val="003B366A"/>
    <w:rsid w:val="003B7502"/>
    <w:rsid w:val="003B7AF9"/>
    <w:rsid w:val="003C091D"/>
    <w:rsid w:val="003D6927"/>
    <w:rsid w:val="003E30BF"/>
    <w:rsid w:val="003E3336"/>
    <w:rsid w:val="003F25D4"/>
    <w:rsid w:val="00402EF6"/>
    <w:rsid w:val="004116D7"/>
    <w:rsid w:val="004135F6"/>
    <w:rsid w:val="00433804"/>
    <w:rsid w:val="00433CE1"/>
    <w:rsid w:val="00442B6C"/>
    <w:rsid w:val="00444794"/>
    <w:rsid w:val="00452E05"/>
    <w:rsid w:val="0047229F"/>
    <w:rsid w:val="00476905"/>
    <w:rsid w:val="00476C29"/>
    <w:rsid w:val="00494903"/>
    <w:rsid w:val="004A42B9"/>
    <w:rsid w:val="004A5D15"/>
    <w:rsid w:val="004C7E43"/>
    <w:rsid w:val="004D66CC"/>
    <w:rsid w:val="004F140F"/>
    <w:rsid w:val="00500482"/>
    <w:rsid w:val="005021EC"/>
    <w:rsid w:val="00520DDD"/>
    <w:rsid w:val="005364A9"/>
    <w:rsid w:val="00541776"/>
    <w:rsid w:val="00545944"/>
    <w:rsid w:val="005564DE"/>
    <w:rsid w:val="00561440"/>
    <w:rsid w:val="00586DAC"/>
    <w:rsid w:val="005B1C72"/>
    <w:rsid w:val="005B6F71"/>
    <w:rsid w:val="005C0733"/>
    <w:rsid w:val="005C0870"/>
    <w:rsid w:val="005C4767"/>
    <w:rsid w:val="005C7C06"/>
    <w:rsid w:val="005D0BAA"/>
    <w:rsid w:val="005D23E1"/>
    <w:rsid w:val="005E6863"/>
    <w:rsid w:val="005F2648"/>
    <w:rsid w:val="005F4BF0"/>
    <w:rsid w:val="0060027A"/>
    <w:rsid w:val="006010A7"/>
    <w:rsid w:val="00614CCB"/>
    <w:rsid w:val="00622CF6"/>
    <w:rsid w:val="00630192"/>
    <w:rsid w:val="0063789C"/>
    <w:rsid w:val="006535A4"/>
    <w:rsid w:val="00661DE7"/>
    <w:rsid w:val="00665170"/>
    <w:rsid w:val="006A7048"/>
    <w:rsid w:val="006B68F4"/>
    <w:rsid w:val="006C7837"/>
    <w:rsid w:val="006F75BF"/>
    <w:rsid w:val="00710665"/>
    <w:rsid w:val="00710AF9"/>
    <w:rsid w:val="0071573F"/>
    <w:rsid w:val="00715AAA"/>
    <w:rsid w:val="00721548"/>
    <w:rsid w:val="00721792"/>
    <w:rsid w:val="0072498C"/>
    <w:rsid w:val="00725256"/>
    <w:rsid w:val="00745A03"/>
    <w:rsid w:val="00752E7B"/>
    <w:rsid w:val="007538DA"/>
    <w:rsid w:val="0075539F"/>
    <w:rsid w:val="00756A81"/>
    <w:rsid w:val="00756CE5"/>
    <w:rsid w:val="00777306"/>
    <w:rsid w:val="00784AC2"/>
    <w:rsid w:val="007D066F"/>
    <w:rsid w:val="007D0B7D"/>
    <w:rsid w:val="007D2DE4"/>
    <w:rsid w:val="007E0FA8"/>
    <w:rsid w:val="007E32A1"/>
    <w:rsid w:val="007E3647"/>
    <w:rsid w:val="007E4752"/>
    <w:rsid w:val="007E64DC"/>
    <w:rsid w:val="00802D3E"/>
    <w:rsid w:val="00807847"/>
    <w:rsid w:val="008254A1"/>
    <w:rsid w:val="008326DE"/>
    <w:rsid w:val="008519AE"/>
    <w:rsid w:val="00870C11"/>
    <w:rsid w:val="00876285"/>
    <w:rsid w:val="0087731F"/>
    <w:rsid w:val="00894A87"/>
    <w:rsid w:val="008C204A"/>
    <w:rsid w:val="008C382A"/>
    <w:rsid w:val="008E2D20"/>
    <w:rsid w:val="008F2DEA"/>
    <w:rsid w:val="00905A2B"/>
    <w:rsid w:val="00907D9D"/>
    <w:rsid w:val="00916B19"/>
    <w:rsid w:val="00917223"/>
    <w:rsid w:val="00924A6A"/>
    <w:rsid w:val="00924BEC"/>
    <w:rsid w:val="00930658"/>
    <w:rsid w:val="00962727"/>
    <w:rsid w:val="00965437"/>
    <w:rsid w:val="00972A44"/>
    <w:rsid w:val="00975FE0"/>
    <w:rsid w:val="00977BDE"/>
    <w:rsid w:val="00982350"/>
    <w:rsid w:val="009B1B0A"/>
    <w:rsid w:val="009C5AFD"/>
    <w:rsid w:val="009D3E50"/>
    <w:rsid w:val="009D673D"/>
    <w:rsid w:val="009E6413"/>
    <w:rsid w:val="009F4AD0"/>
    <w:rsid w:val="009F5723"/>
    <w:rsid w:val="00A0402F"/>
    <w:rsid w:val="00A21CA9"/>
    <w:rsid w:val="00A3382D"/>
    <w:rsid w:val="00A72D40"/>
    <w:rsid w:val="00A828FF"/>
    <w:rsid w:val="00A86411"/>
    <w:rsid w:val="00AA10C7"/>
    <w:rsid w:val="00AB41B8"/>
    <w:rsid w:val="00AB5010"/>
    <w:rsid w:val="00AC08C2"/>
    <w:rsid w:val="00AC091B"/>
    <w:rsid w:val="00AC217B"/>
    <w:rsid w:val="00AD0CBD"/>
    <w:rsid w:val="00B311A5"/>
    <w:rsid w:val="00B369FF"/>
    <w:rsid w:val="00B378BF"/>
    <w:rsid w:val="00B408DD"/>
    <w:rsid w:val="00B465BA"/>
    <w:rsid w:val="00B50703"/>
    <w:rsid w:val="00B658DB"/>
    <w:rsid w:val="00B66AF2"/>
    <w:rsid w:val="00B70657"/>
    <w:rsid w:val="00B9245E"/>
    <w:rsid w:val="00BC273D"/>
    <w:rsid w:val="00BD3327"/>
    <w:rsid w:val="00BE0325"/>
    <w:rsid w:val="00BE2912"/>
    <w:rsid w:val="00BE75E7"/>
    <w:rsid w:val="00BF75DD"/>
    <w:rsid w:val="00C05E0B"/>
    <w:rsid w:val="00C13363"/>
    <w:rsid w:val="00C159F7"/>
    <w:rsid w:val="00C449FE"/>
    <w:rsid w:val="00C62BC1"/>
    <w:rsid w:val="00C85AC5"/>
    <w:rsid w:val="00CD764C"/>
    <w:rsid w:val="00CF0106"/>
    <w:rsid w:val="00D12FE2"/>
    <w:rsid w:val="00D158A3"/>
    <w:rsid w:val="00D276EC"/>
    <w:rsid w:val="00D349D1"/>
    <w:rsid w:val="00D573AF"/>
    <w:rsid w:val="00D62BCF"/>
    <w:rsid w:val="00D645CD"/>
    <w:rsid w:val="00D726CA"/>
    <w:rsid w:val="00D93885"/>
    <w:rsid w:val="00DA6CF7"/>
    <w:rsid w:val="00DA79C1"/>
    <w:rsid w:val="00DB1541"/>
    <w:rsid w:val="00DD4249"/>
    <w:rsid w:val="00DE331A"/>
    <w:rsid w:val="00DF18F7"/>
    <w:rsid w:val="00DF47F4"/>
    <w:rsid w:val="00E10297"/>
    <w:rsid w:val="00E15D56"/>
    <w:rsid w:val="00E436A2"/>
    <w:rsid w:val="00E44A4D"/>
    <w:rsid w:val="00E47A87"/>
    <w:rsid w:val="00E71241"/>
    <w:rsid w:val="00E73A54"/>
    <w:rsid w:val="00E81C8A"/>
    <w:rsid w:val="00E82169"/>
    <w:rsid w:val="00E824C9"/>
    <w:rsid w:val="00E82E56"/>
    <w:rsid w:val="00E944C1"/>
    <w:rsid w:val="00EA349A"/>
    <w:rsid w:val="00EB5235"/>
    <w:rsid w:val="00EC2C66"/>
    <w:rsid w:val="00EE2D92"/>
    <w:rsid w:val="00EE331B"/>
    <w:rsid w:val="00EE3EC7"/>
    <w:rsid w:val="00EF358F"/>
    <w:rsid w:val="00EF5036"/>
    <w:rsid w:val="00F13160"/>
    <w:rsid w:val="00F260F3"/>
    <w:rsid w:val="00F31DB0"/>
    <w:rsid w:val="00F3275B"/>
    <w:rsid w:val="00F3597B"/>
    <w:rsid w:val="00F37A1A"/>
    <w:rsid w:val="00F505C2"/>
    <w:rsid w:val="00F50862"/>
    <w:rsid w:val="00F5328C"/>
    <w:rsid w:val="00F620FF"/>
    <w:rsid w:val="00F65813"/>
    <w:rsid w:val="00F733A1"/>
    <w:rsid w:val="00F826AF"/>
    <w:rsid w:val="00F94096"/>
    <w:rsid w:val="00F96CC8"/>
    <w:rsid w:val="00FA07CA"/>
    <w:rsid w:val="00FA57AC"/>
    <w:rsid w:val="00FB2838"/>
    <w:rsid w:val="00FD128E"/>
    <w:rsid w:val="00FD782B"/>
    <w:rsid w:val="00FF1A5F"/>
    <w:rsid w:val="11F4E394"/>
    <w:rsid w:val="1268E3E6"/>
    <w:rsid w:val="1660E126"/>
    <w:rsid w:val="1D74B347"/>
    <w:rsid w:val="254A95A6"/>
    <w:rsid w:val="26906617"/>
    <w:rsid w:val="29107230"/>
    <w:rsid w:val="32E457E2"/>
    <w:rsid w:val="3375CC95"/>
    <w:rsid w:val="3707F785"/>
    <w:rsid w:val="45E693C8"/>
    <w:rsid w:val="5484C0FB"/>
    <w:rsid w:val="58DA72EF"/>
    <w:rsid w:val="5E229258"/>
    <w:rsid w:val="71ACCD0B"/>
    <w:rsid w:val="73B718A9"/>
    <w:rsid w:val="75C1728C"/>
    <w:rsid w:val="76BFD745"/>
    <w:rsid w:val="7F5AEE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32"/>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D93885"/>
    <w:pPr>
      <w:keepNext/>
      <w:keepLines/>
      <w:spacing w:before="240" w:after="240"/>
      <w:outlineLvl w:val="0"/>
    </w:pPr>
    <w:rPr>
      <w:rFonts w:asciiTheme="minorHAnsi" w:hAnsiTheme="minorHAnsi"/>
      <w:b/>
      <w:sz w:val="32"/>
      <w:szCs w:val="32"/>
    </w:rPr>
  </w:style>
  <w:style w:type="paragraph" w:styleId="Heading2">
    <w:name w:val="heading 2"/>
    <w:aliases w:val="CDU Subject"/>
    <w:basedOn w:val="Heading1"/>
    <w:next w:val="Normal"/>
    <w:link w:val="Heading2Char"/>
    <w:uiPriority w:val="9"/>
    <w:unhideWhenUsed/>
    <w:qFormat/>
    <w:rsid w:val="00D93885"/>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D93885"/>
    <w:rPr>
      <w:rFonts w:cs="Arial"/>
      <w:b/>
      <w:color w:val="000000" w:themeColor="text1"/>
      <w:sz w:val="28"/>
      <w:szCs w:val="22"/>
    </w:rPr>
  </w:style>
  <w:style w:type="character" w:styleId="Hyperlink">
    <w:name w:val="Hyperlink"/>
    <w:basedOn w:val="FollowedHyperlink"/>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D93885"/>
    <w:rPr>
      <w:rFonts w:eastAsiaTheme="minorEastAsia" w:cs="Times New Roman (Body CS)"/>
      <w:b/>
      <w:color w:val="000000" w:themeColor="text1"/>
      <w:sz w:val="32"/>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390832"/>
    <w:pPr>
      <w:ind w:left="-567" w:right="-511"/>
      <w:contextualSpacing/>
    </w:pPr>
    <w:rPr>
      <w:rFonts w:asciiTheme="minorHAnsi" w:eastAsiaTheme="majorEastAsia" w:hAnsiTheme="minorHAnsi" w:cstheme="minorHAnsi"/>
      <w:bCs/>
      <w:color w:val="auto"/>
      <w:kern w:val="28"/>
      <w:szCs w:val="22"/>
    </w:rPr>
  </w:style>
  <w:style w:type="character" w:customStyle="1" w:styleId="TitleChar">
    <w:name w:val="Title Char"/>
    <w:basedOn w:val="DefaultParagraphFont"/>
    <w:link w:val="Title"/>
    <w:uiPriority w:val="10"/>
    <w:rsid w:val="00390832"/>
    <w:rPr>
      <w:rFonts w:eastAsiaTheme="majorEastAsia" w:cstheme="minorHAnsi"/>
      <w:bCs/>
      <w:kern w:val="28"/>
      <w:sz w:val="22"/>
      <w:szCs w:val="22"/>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semiHidden/>
    <w:unhideWhenUsed/>
    <w:rsid w:val="00F13160"/>
    <w:rPr>
      <w:sz w:val="20"/>
      <w:szCs w:val="20"/>
    </w:rPr>
  </w:style>
  <w:style w:type="character" w:customStyle="1" w:styleId="CommentTextChar">
    <w:name w:val="Comment Text Char"/>
    <w:basedOn w:val="DefaultParagraphFont"/>
    <w:link w:val="CommentText"/>
    <w:uiPriority w:val="99"/>
    <w:semiHidden/>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2"/>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3"/>
      </w:numPr>
      <w:spacing w:before="60" w:after="60"/>
    </w:pPr>
  </w:style>
  <w:style w:type="paragraph" w:customStyle="1" w:styleId="BodyNumbering">
    <w:name w:val="Body Numbering"/>
    <w:rsid w:val="00F505C2"/>
    <w:pPr>
      <w:widowControl w:val="0"/>
      <w:numPr>
        <w:numId w:val="4"/>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 w:type="paragraph" w:customStyle="1" w:styleId="Normal0">
    <w:name w:val="[Normal]"/>
    <w:qFormat/>
    <w:rsid w:val="00975FE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0"/>
      <w:szCs w:val="20"/>
      <w:lang w:eastAsia="en-AU"/>
    </w:rPr>
  </w:style>
  <w:style w:type="table" w:customStyle="1" w:styleId="PlainTable41">
    <w:name w:val="Plain Table 41"/>
    <w:basedOn w:val="TableNormal"/>
    <w:uiPriority w:val="44"/>
    <w:rsid w:val="00756A81"/>
    <w:rPr>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0"/>
    <w:rsid w:val="00756A81"/>
    <w:pPr>
      <w:spacing w:after="120"/>
    </w:pPr>
    <w:rPr>
      <w:rFonts w:ascii="Trebuchet MS" w:eastAsia="Times New Roman" w:hAnsi="Trebuchet MS" w:cs="Times New Roman"/>
      <w:color w:val="auto"/>
      <w:sz w:val="20"/>
      <w:szCs w:val="20"/>
      <w:lang w:val="en-AU" w:eastAsia="en-AU"/>
    </w:rPr>
  </w:style>
  <w:style w:type="character" w:customStyle="1" w:styleId="BodyTextChar0">
    <w:name w:val="Body Text Char"/>
    <w:basedOn w:val="DefaultParagraphFont"/>
    <w:link w:val="BodyText"/>
    <w:rsid w:val="00756A81"/>
    <w:rPr>
      <w:rFonts w:ascii="Trebuchet MS" w:eastAsia="Times New Roman" w:hAnsi="Trebuchet MS" w:cs="Times New Roman"/>
      <w:sz w:val="20"/>
      <w:szCs w:val="20"/>
      <w:lang w:eastAsia="en-AU"/>
    </w:rPr>
  </w:style>
  <w:style w:type="paragraph" w:styleId="NormalWeb">
    <w:name w:val="Normal (Web)"/>
    <w:basedOn w:val="Normal"/>
    <w:uiPriority w:val="99"/>
    <w:unhideWhenUsed/>
    <w:rsid w:val="00756A81"/>
    <w:pPr>
      <w:spacing w:before="100" w:beforeAutospacing="1" w:after="100" w:afterAutospacing="1"/>
    </w:pPr>
    <w:rPr>
      <w:rFonts w:ascii="Times New Roman" w:eastAsia="Times New Roman" w:hAnsi="Times New Roman" w:cs="Times New Roman"/>
      <w:color w:val="auto"/>
      <w:sz w:val="24"/>
      <w:lang w:val="en-AU" w:eastAsia="en-AU"/>
    </w:rPr>
  </w:style>
  <w:style w:type="character" w:customStyle="1" w:styleId="ListParagraphChar">
    <w:name w:val="List Paragraph Char"/>
    <w:basedOn w:val="DefaultParagraphFont"/>
    <w:link w:val="ListParagraph"/>
    <w:uiPriority w:val="34"/>
    <w:rsid w:val="00545944"/>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EE2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7071">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499152480">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69867664">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78398609">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112087916">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397509375">
      <w:bodyDiv w:val="1"/>
      <w:marLeft w:val="0"/>
      <w:marRight w:val="0"/>
      <w:marTop w:val="0"/>
      <w:marBottom w:val="0"/>
      <w:divBdr>
        <w:top w:val="none" w:sz="0" w:space="0" w:color="auto"/>
        <w:left w:val="none" w:sz="0" w:space="0" w:color="auto"/>
        <w:bottom w:val="none" w:sz="0" w:space="0" w:color="auto"/>
        <w:right w:val="none" w:sz="0" w:space="0" w:color="auto"/>
      </w:divBdr>
      <w:divsChild>
        <w:div w:id="1150100120">
          <w:marLeft w:val="0"/>
          <w:marRight w:val="0"/>
          <w:marTop w:val="0"/>
          <w:marBottom w:val="0"/>
          <w:divBdr>
            <w:top w:val="none" w:sz="0" w:space="0" w:color="auto"/>
            <w:left w:val="none" w:sz="0" w:space="0" w:color="auto"/>
            <w:bottom w:val="none" w:sz="0" w:space="0" w:color="auto"/>
            <w:right w:val="none" w:sz="0" w:space="0" w:color="auto"/>
          </w:divBdr>
        </w:div>
        <w:div w:id="1628123255">
          <w:marLeft w:val="0"/>
          <w:marRight w:val="0"/>
          <w:marTop w:val="0"/>
          <w:marBottom w:val="0"/>
          <w:divBdr>
            <w:top w:val="none" w:sz="0" w:space="0" w:color="auto"/>
            <w:left w:val="none" w:sz="0" w:space="0" w:color="auto"/>
            <w:bottom w:val="none" w:sz="0" w:space="0" w:color="auto"/>
            <w:right w:val="none" w:sz="0" w:space="0" w:color="auto"/>
          </w:divBdr>
          <w:divsChild>
            <w:div w:id="207573995">
              <w:marLeft w:val="0"/>
              <w:marRight w:val="0"/>
              <w:marTop w:val="0"/>
              <w:marBottom w:val="0"/>
              <w:divBdr>
                <w:top w:val="none" w:sz="0" w:space="0" w:color="auto"/>
                <w:left w:val="none" w:sz="0" w:space="0" w:color="auto"/>
                <w:bottom w:val="none" w:sz="0" w:space="0" w:color="auto"/>
                <w:right w:val="none" w:sz="0" w:space="0" w:color="auto"/>
              </w:divBdr>
            </w:div>
            <w:div w:id="1456215972">
              <w:marLeft w:val="0"/>
              <w:marRight w:val="0"/>
              <w:marTop w:val="0"/>
              <w:marBottom w:val="0"/>
              <w:divBdr>
                <w:top w:val="none" w:sz="0" w:space="0" w:color="auto"/>
                <w:left w:val="none" w:sz="0" w:space="0" w:color="auto"/>
                <w:bottom w:val="none" w:sz="0" w:space="0" w:color="auto"/>
                <w:right w:val="none" w:sz="0" w:space="0" w:color="auto"/>
              </w:divBdr>
            </w:div>
            <w:div w:id="1771120408">
              <w:marLeft w:val="0"/>
              <w:marRight w:val="0"/>
              <w:marTop w:val="0"/>
              <w:marBottom w:val="0"/>
              <w:divBdr>
                <w:top w:val="none" w:sz="0" w:space="0" w:color="auto"/>
                <w:left w:val="none" w:sz="0" w:space="0" w:color="auto"/>
                <w:bottom w:val="none" w:sz="0" w:space="0" w:color="auto"/>
                <w:right w:val="none" w:sz="0" w:space="0" w:color="auto"/>
              </w:divBdr>
            </w:div>
            <w:div w:id="508062949">
              <w:marLeft w:val="0"/>
              <w:marRight w:val="0"/>
              <w:marTop w:val="0"/>
              <w:marBottom w:val="0"/>
              <w:divBdr>
                <w:top w:val="none" w:sz="0" w:space="0" w:color="auto"/>
                <w:left w:val="none" w:sz="0" w:space="0" w:color="auto"/>
                <w:bottom w:val="none" w:sz="0" w:space="0" w:color="auto"/>
                <w:right w:val="none" w:sz="0" w:space="0" w:color="auto"/>
              </w:divBdr>
            </w:div>
            <w:div w:id="6559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494">
      <w:bodyDiv w:val="1"/>
      <w:marLeft w:val="0"/>
      <w:marRight w:val="0"/>
      <w:marTop w:val="0"/>
      <w:marBottom w:val="0"/>
      <w:divBdr>
        <w:top w:val="none" w:sz="0" w:space="0" w:color="auto"/>
        <w:left w:val="none" w:sz="0" w:space="0" w:color="auto"/>
        <w:bottom w:val="none" w:sz="0" w:space="0" w:color="auto"/>
        <w:right w:val="none" w:sz="0" w:space="0" w:color="auto"/>
      </w:divBdr>
      <w:divsChild>
        <w:div w:id="163402544">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Lisa.Papatraianou@cdu.edu.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itsl.edu.au/teach/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arts-society/education/inschool-education-placements/templates-observing-planning-reflection"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d6ef04c8-192e-411b-9e3e-5b18ec15ba94" xsi:nil="true"/>
    <AppVersion xmlns="d6ef04c8-192e-411b-9e3e-5b18ec15ba94" xsi:nil="true"/>
    <Self_Registration_Enabled xmlns="d6ef04c8-192e-411b-9e3e-5b18ec15ba94" xsi:nil="true"/>
    <Has_Leaders_Only_SectionGroup xmlns="d6ef04c8-192e-411b-9e3e-5b18ec15ba94" xsi:nil="true"/>
    <Leaders xmlns="d6ef04c8-192e-411b-9e3e-5b18ec15ba94">
      <UserInfo>
        <DisplayName/>
        <AccountId xsi:nil="true"/>
        <AccountType/>
      </UserInfo>
    </Leaders>
    <Math_Settings xmlns="d6ef04c8-192e-411b-9e3e-5b18ec15ba94" xsi:nil="true"/>
    <Members xmlns="d6ef04c8-192e-411b-9e3e-5b18ec15ba94">
      <UserInfo>
        <DisplayName/>
        <AccountId xsi:nil="true"/>
        <AccountType/>
      </UserInfo>
    </Members>
    <TaxCatchAll xmlns="da3994a5-5608-40c3-95e4-a735fbd59589" xsi:nil="true"/>
    <LMS_Mappings xmlns="d6ef04c8-192e-411b-9e3e-5b18ec15ba94" xsi:nil="true"/>
    <Invited_Leaders xmlns="d6ef04c8-192e-411b-9e3e-5b18ec15ba94" xsi:nil="true"/>
    <IsNotebookLocked xmlns="d6ef04c8-192e-411b-9e3e-5b18ec15ba94" xsi:nil="true"/>
    <FolderType xmlns="d6ef04c8-192e-411b-9e3e-5b18ec15ba94" xsi:nil="true"/>
    <Owner xmlns="d6ef04c8-192e-411b-9e3e-5b18ec15ba94">
      <UserInfo>
        <DisplayName/>
        <AccountId xsi:nil="true"/>
        <AccountType/>
      </UserInfo>
    </Owner>
    <Distribution_Groups xmlns="d6ef04c8-192e-411b-9e3e-5b18ec15ba94" xsi:nil="true"/>
    <DefaultSectionNames xmlns="d6ef04c8-192e-411b-9e3e-5b18ec15ba94" xsi:nil="true"/>
    <Invited_Members xmlns="d6ef04c8-192e-411b-9e3e-5b18ec15ba94" xsi:nil="true"/>
    <Is_Collaboration_Space_Locked xmlns="d6ef04c8-192e-411b-9e3e-5b18ec15ba94" xsi:nil="true"/>
    <Teams_Channel_Section_Location xmlns="d6ef04c8-192e-411b-9e3e-5b18ec15ba94" xsi:nil="true"/>
    <NotebookType xmlns="d6ef04c8-192e-411b-9e3e-5b18ec15ba94" xsi:nil="true"/>
    <CultureName xmlns="d6ef04c8-192e-411b-9e3e-5b18ec15ba94" xsi:nil="true"/>
    <lcf76f155ced4ddcb4097134ff3c332f xmlns="d6ef04c8-192e-411b-9e3e-5b18ec15ba94">
      <Terms xmlns="http://schemas.microsoft.com/office/infopath/2007/PartnerControls"/>
    </lcf76f155ced4ddcb4097134ff3c332f>
    <Member_Groups xmlns="d6ef04c8-192e-411b-9e3e-5b18ec15ba94">
      <UserInfo>
        <DisplayName/>
        <AccountId xsi:nil="true"/>
        <AccountType/>
      </UserInfo>
    </Member_Groups>
    <TeamsChannelId xmlns="d6ef04c8-192e-411b-9e3e-5b18ec15ba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E8491DB32CFD488DC8FF68E427A601" ma:contentTypeVersion="37" ma:contentTypeDescription="Create a new document." ma:contentTypeScope="" ma:versionID="bd12e7dcb68fd40fd1677cfda2d90c18">
  <xsd:schema xmlns:xsd="http://www.w3.org/2001/XMLSchema" xmlns:xs="http://www.w3.org/2001/XMLSchema" xmlns:p="http://schemas.microsoft.com/office/2006/metadata/properties" xmlns:ns2="d6ef04c8-192e-411b-9e3e-5b18ec15ba94" xmlns:ns3="cfec664b-606f-4bf0-a76c-cbec05197b65" xmlns:ns4="da3994a5-5608-40c3-95e4-a735fbd59589" targetNamespace="http://schemas.microsoft.com/office/2006/metadata/properties" ma:root="true" ma:fieldsID="13a0dd420ff6ff43bdb5cd29900816de" ns2:_="" ns3:_="" ns4:_="">
    <xsd:import namespace="d6ef04c8-192e-411b-9e3e-5b18ec15ba94"/>
    <xsd:import namespace="cfec664b-606f-4bf0-a76c-cbec05197b65"/>
    <xsd:import namespace="da3994a5-5608-40c3-95e4-a735fbd595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OCR" minOccurs="0"/>
                <xsd:element ref="ns2:MediaServiceGenerationTime" minOccurs="0"/>
                <xsd:element ref="ns2:MediaServiceEventHashCode" minOccurs="0"/>
                <xsd:element ref="ns2:Teams_Channel_Section_Location" minOccurs="0"/>
                <xsd:element ref="ns2:MediaServiceDateTaken"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f04c8-192e-411b-9e3e-5b18ec15b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0" nillable="true" ma:displayName="Math Settings" ma:internalName="Math_Settings">
      <xsd:simpleType>
        <xsd:restriction base="dms:Text"/>
      </xsd:simple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Leaders" ma:index="2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6" nillable="true" ma:displayName="Distribution Groups" ma:internalName="Distribution_Groups">
      <xsd:simpleType>
        <xsd:restriction base="dms:Note">
          <xsd:maxLength value="255"/>
        </xsd:restriction>
      </xsd:simpleType>
    </xsd:element>
    <xsd:element name="LMS_Mappings" ma:index="27" nillable="true" ma:displayName="LMS Mappings" ma:internalName="LMS_Mappings">
      <xsd:simpleType>
        <xsd:restriction base="dms:Note">
          <xsd:maxLength value="255"/>
        </xsd:restriction>
      </xsd:simpleType>
    </xsd:element>
    <xsd:element name="Invited_Leaders" ma:index="28" nillable="true" ma:displayName="Invited Leaders" ma:internalName="Invited_Leaders">
      <xsd:simpleType>
        <xsd:restriction base="dms:Note">
          <xsd:maxLength value="255"/>
        </xsd:restriction>
      </xsd:simpleType>
    </xsd:element>
    <xsd:element name="Invited_Members" ma:index="29" nillable="true" ma:displayName="Invited Members" ma:internalName="Invited_Member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Leaders_Only_SectionGroup" ma:index="31" nillable="true" ma:displayName="Has Leaders Only SectionGroup" ma:internalName="Has_Leaders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Teams_Channel_Section_Location" ma:index="37" nillable="true" ma:displayName="Teams Channel Section Location" ma:internalName="Teams_Channel_Section_Location">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c664b-606f-4bf0-a76c-cbec05197b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42" nillable="true" ma:displayName="Taxonomy Catch All Column" ma:hidden="true" ma:list="{323be934-ef3c-40b3-8698-2a08bedb625c}" ma:internalName="TaxCatchAll" ma:showField="CatchAllData" ma:web="cfec664b-606f-4bf0-a76c-cbec05197b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45FB0-89C2-4A8D-8A87-CC7AC53979FD}">
  <ds:schemaRefs>
    <ds:schemaRef ds:uri="http://schemas.microsoft.com/office/2006/metadata/properties"/>
    <ds:schemaRef ds:uri="http://schemas.microsoft.com/office/infopath/2007/PartnerControls"/>
    <ds:schemaRef ds:uri="d6ef04c8-192e-411b-9e3e-5b18ec15ba94"/>
    <ds:schemaRef ds:uri="da3994a5-5608-40c3-95e4-a735fbd59589"/>
  </ds:schemaRefs>
</ds:datastoreItem>
</file>

<file path=customXml/itemProps2.xml><?xml version="1.0" encoding="utf-8"?>
<ds:datastoreItem xmlns:ds="http://schemas.openxmlformats.org/officeDocument/2006/customXml" ds:itemID="{D0686B70-7378-4081-B0D6-4A70BF625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f04c8-192e-411b-9e3e-5b18ec15ba94"/>
    <ds:schemaRef ds:uri="cfec664b-606f-4bf0-a76c-cbec05197b65"/>
    <ds:schemaRef ds:uri="da3994a5-5608-40c3-95e4-a735fbd5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FE86D-7397-42AE-9EF6-F29F920E379B}">
  <ds:schemaRefs>
    <ds:schemaRef ds:uri="http://schemas.microsoft.com/sharepoint/v3/contenttype/forms"/>
  </ds:schemaRefs>
</ds:datastoreItem>
</file>

<file path=customXml/itemProps4.xml><?xml version="1.0" encoding="utf-8"?>
<ds:datastoreItem xmlns:ds="http://schemas.openxmlformats.org/officeDocument/2006/customXml" ds:itemID="{8F78AEF5-AC4D-471F-A8C6-D91A1CF8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4064</Words>
  <Characters>23171</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15</cp:revision>
  <cp:lastPrinted>2019-11-04T23:10:00Z</cp:lastPrinted>
  <dcterms:created xsi:type="dcterms:W3CDTF">2023-01-30T02:25:00Z</dcterms:created>
  <dcterms:modified xsi:type="dcterms:W3CDTF">2023-02-01T05:17:00Z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0x010100EEE8491DB32CFD488DC8FF68E427A601</vt:lpwstr>
  </property>
  <property fmtid="{D5CDD505-2E9C-101B-9397-08002B2CF9AE}" pid="3" name="Order">
    <vt:r8>7337100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