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bookmarkStart w:id="0" w:name="_GoBack"/>
      <w:bookmarkEnd w:id="0"/>
      <w:r>
        <w:rPr>
          <w:szCs w:val="48"/>
          <w:lang w:bidi="en-AU"/>
        </w:rPr>
        <w:t>Requirements and Guidelines</w:t>
      </w:r>
    </w:p>
    <w:p w14:paraId="79415DAF" w14:textId="1C48C5A7" w:rsidR="00317BB8" w:rsidRDefault="005F7EA7" w:rsidP="00A72310">
      <w:pPr>
        <w:pStyle w:val="Title"/>
        <w:ind w:left="-851"/>
        <w:rPr>
          <w:szCs w:val="48"/>
          <w:lang w:bidi="en-AU"/>
        </w:rPr>
      </w:pPr>
      <w:bookmarkStart w:id="1" w:name="_Hlk78723136"/>
      <w:r>
        <w:rPr>
          <w:szCs w:val="48"/>
          <w:lang w:bidi="en-AU"/>
        </w:rPr>
        <w:t>EPR211 Professional Experience 3</w:t>
      </w:r>
    </w:p>
    <w:p w14:paraId="2ED3570F" w14:textId="4DDCA7A6" w:rsidR="005F7EA7" w:rsidRPr="005F7EA7" w:rsidRDefault="005F7EA7" w:rsidP="005F7EA7">
      <w:pPr>
        <w:pStyle w:val="Title"/>
        <w:ind w:left="-851"/>
        <w:rPr>
          <w:szCs w:val="48"/>
          <w:lang w:bidi="en-AU"/>
        </w:rPr>
      </w:pPr>
      <w:r w:rsidRPr="005F7EA7">
        <w:rPr>
          <w:szCs w:val="48"/>
          <w:lang w:bidi="en-AU"/>
        </w:rPr>
        <w:t>Classroom Practice</w:t>
      </w:r>
    </w:p>
    <w:p w14:paraId="0F2C29BA" w14:textId="2AFEF6D2" w:rsidR="005F7EA7" w:rsidRPr="005F7EA7" w:rsidRDefault="001C4923" w:rsidP="005F7EA7">
      <w:pPr>
        <w:pStyle w:val="Title"/>
        <w:ind w:left="-851"/>
        <w:rPr>
          <w:szCs w:val="48"/>
          <w:lang w:bidi="en-AU"/>
        </w:rPr>
      </w:pPr>
      <w:r w:rsidRPr="00A72310">
        <w:rPr>
          <w:szCs w:val="48"/>
          <w:lang w:bidi="en-AU"/>
        </w:rPr>
        <w:t xml:space="preserve"> </w:t>
      </w:r>
      <w:bookmarkEnd w:id="1"/>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0ED53544" w:rsidR="00F1602C" w:rsidRDefault="005F7EA7" w:rsidP="00B415C1">
            <w:r>
              <w:rPr>
                <w:rFonts w:ascii="Calibri Light" w:hAnsi="Calibri Light" w:cs="Calibri Light"/>
                <w:szCs w:val="22"/>
              </w:rPr>
              <w:t>Professional Experience 3 – Classroom Practice</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582C086B" w:rsidR="00F1602C" w:rsidRDefault="005F7EA7" w:rsidP="005F7EA7">
            <w:r>
              <w:rPr>
                <w:rFonts w:ascii="Calibri Light" w:hAnsi="Calibri Light" w:cs="Calibri Light"/>
                <w:szCs w:val="22"/>
              </w:rPr>
              <w:t>20</w:t>
            </w:r>
            <w:r w:rsidR="00F1602C">
              <w:rPr>
                <w:rFonts w:ascii="Calibri Light" w:hAnsi="Calibri Light" w:cs="Calibri Light"/>
                <w:szCs w:val="22"/>
              </w:rPr>
              <w:t xml:space="preserve"> days professional experience including a </w:t>
            </w:r>
            <w:r>
              <w:rPr>
                <w:rFonts w:ascii="Calibri Light" w:hAnsi="Calibri Light" w:cs="Calibri Light"/>
                <w:szCs w:val="22"/>
              </w:rPr>
              <w:t>3</w:t>
            </w:r>
            <w:r w:rsidR="00F1602C">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41F8D297" w14:textId="77777777" w:rsidR="005F7EA7" w:rsidRPr="007632BE" w:rsidRDefault="005F7EA7" w:rsidP="005F7EA7">
            <w:pPr>
              <w:rPr>
                <w:rFonts w:ascii="Calibri Light" w:hAnsi="Calibri Light" w:cs="Calibri Light"/>
                <w:b/>
                <w:bCs/>
                <w:szCs w:val="22"/>
              </w:rPr>
            </w:pPr>
            <w:r w:rsidRPr="007632BE">
              <w:rPr>
                <w:rFonts w:ascii="Calibri Light" w:hAnsi="Calibri Light" w:cs="Calibri Light"/>
                <w:szCs w:val="22"/>
              </w:rPr>
              <w:t xml:space="preserve">WEDP and BEDP: </w:t>
            </w:r>
            <w:r w:rsidRPr="007632BE">
              <w:rPr>
                <w:rFonts w:ascii="Calibri Light" w:hAnsi="Calibri Light" w:cs="Calibri Light"/>
                <w:b/>
                <w:bCs/>
                <w:szCs w:val="22"/>
              </w:rPr>
              <w:t xml:space="preserve">Primary school any year level. </w:t>
            </w:r>
          </w:p>
          <w:p w14:paraId="26E08540" w14:textId="77777777" w:rsidR="005F7EA7" w:rsidRDefault="005F7EA7" w:rsidP="005F7EA7">
            <w:pPr>
              <w:rPr>
                <w:rFonts w:ascii="Calibri Light" w:hAnsi="Calibri Light" w:cs="Calibri Light"/>
                <w:szCs w:val="22"/>
              </w:rPr>
            </w:pPr>
          </w:p>
          <w:p w14:paraId="1B4DC8FE" w14:textId="3388EC5D" w:rsidR="00F1602C" w:rsidRPr="005F7EA7" w:rsidRDefault="005F7EA7" w:rsidP="005F7EA7">
            <w:pPr>
              <w:rPr>
                <w:rFonts w:ascii="Calibri Light" w:hAnsi="Calibri Light" w:cs="Calibri Light"/>
                <w:b/>
                <w:bCs/>
                <w:szCs w:val="22"/>
              </w:rPr>
            </w:pPr>
            <w:r w:rsidRPr="007632BE">
              <w:rPr>
                <w:rFonts w:ascii="Calibri Light" w:hAnsi="Calibri Light" w:cs="Calibri Light"/>
                <w:szCs w:val="22"/>
              </w:rPr>
              <w:t xml:space="preserve">WEDS, BEDS, WEDS01, BEDSHP, BEDSHS, BEDSIT, BEDSMA, BEDSMU, BEDSSC, BEDSVA:  </w:t>
            </w:r>
            <w:r w:rsidRPr="007632BE">
              <w:rPr>
                <w:rFonts w:ascii="Calibri Light" w:hAnsi="Calibri Light" w:cs="Calibri Light"/>
                <w:b/>
                <w:bCs/>
                <w:szCs w:val="22"/>
              </w:rPr>
              <w:t xml:space="preserve">Secondary </w:t>
            </w:r>
            <w:r>
              <w:rPr>
                <w:rFonts w:ascii="Calibri Light" w:hAnsi="Calibri Light" w:cs="Calibri Light"/>
                <w:b/>
                <w:bCs/>
                <w:szCs w:val="22"/>
              </w:rPr>
              <w:t xml:space="preserve">school </w:t>
            </w:r>
            <w:r w:rsidRPr="007632BE">
              <w:rPr>
                <w:rFonts w:ascii="Calibri Light" w:hAnsi="Calibri Light" w:cs="Calibri Light"/>
                <w:b/>
                <w:bCs/>
                <w:szCs w:val="22"/>
              </w:rPr>
              <w:t>any year level</w:t>
            </w:r>
          </w:p>
        </w:tc>
      </w:tr>
      <w:tr w:rsidR="00F1602C" w14:paraId="1FE06E06" w14:textId="77777777" w:rsidTr="00F1602C">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103C6E00" w:rsidR="00F1602C" w:rsidRPr="005F7EA7" w:rsidRDefault="005F7EA7" w:rsidP="005F7EA7">
            <w:pPr>
              <w:rPr>
                <w:rFonts w:ascii="Times New Roman" w:eastAsia="Times New Roman" w:hAnsi="Times New Roman" w:cs="Times New Roman"/>
                <w:color w:val="auto"/>
                <w:sz w:val="24"/>
                <w:lang w:val="en-GB" w:eastAsia="en-GB"/>
              </w:rPr>
            </w:pPr>
            <w:r w:rsidRPr="005F7EA7">
              <w:rPr>
                <w:rFonts w:ascii="Calibri Light" w:hAnsi="Calibri Light" w:cs="Calibri Light"/>
                <w:szCs w:val="22"/>
              </w:rPr>
              <w:t>Critique</w:t>
            </w:r>
            <w:r w:rsidRPr="007632BE">
              <w:rPr>
                <w:rFonts w:ascii="Calibri Light" w:eastAsia="Times New Roman" w:hAnsi="Calibri Light" w:cs="Calibri Light"/>
                <w:color w:val="auto"/>
                <w:szCs w:val="22"/>
                <w:lang w:eastAsia="en-GB"/>
              </w:rPr>
              <w:t xml:space="preserve"> of learning design for diversity of learner and learning</w:t>
            </w:r>
          </w:p>
        </w:tc>
      </w:tr>
      <w:tr w:rsidR="00F1602C" w14:paraId="2F712928" w14:textId="77777777" w:rsidTr="005F7EA7">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3EB48C24" w14:textId="4B49BF10" w:rsidR="00F1602C" w:rsidRPr="005F7EA7" w:rsidRDefault="005F7EA7" w:rsidP="005F7EA7">
            <w:pPr>
              <w:rPr>
                <w:rFonts w:ascii="Times New Roman" w:eastAsia="Times New Roman" w:hAnsi="Times New Roman" w:cs="Times New Roman"/>
                <w:color w:val="auto"/>
                <w:sz w:val="24"/>
                <w:lang w:val="en-GB" w:eastAsia="en-GB"/>
              </w:rPr>
            </w:pPr>
            <w:r w:rsidRPr="007632BE">
              <w:rPr>
                <w:rFonts w:ascii="Calibri Light" w:eastAsia="Times New Roman" w:hAnsi="Calibri Light" w:cs="Calibri Light"/>
                <w:color w:val="auto"/>
                <w:szCs w:val="22"/>
                <w:lang w:eastAsia="en-GB"/>
              </w:rPr>
              <w:t xml:space="preserve">2 </w:t>
            </w:r>
            <w:r w:rsidRPr="005F7EA7">
              <w:rPr>
                <w:rFonts w:ascii="Calibri Light" w:hAnsi="Calibri Light" w:cs="Calibri Light"/>
                <w:szCs w:val="22"/>
              </w:rPr>
              <w:t>weeks</w:t>
            </w:r>
            <w:r w:rsidRPr="007632BE">
              <w:rPr>
                <w:rFonts w:ascii="Calibri Light" w:eastAsia="Times New Roman" w:hAnsi="Calibri Light" w:cs="Calibri Light"/>
                <w:color w:val="auto"/>
                <w:szCs w:val="22"/>
                <w:lang w:eastAsia="en-GB"/>
              </w:rPr>
              <w:t xml:space="preserve"> </w:t>
            </w:r>
            <w:r w:rsidRPr="005F7EA7">
              <w:rPr>
                <w:rFonts w:ascii="Calibri Light" w:hAnsi="Calibri Light" w:cs="Calibri Light"/>
                <w:szCs w:val="22"/>
              </w:rPr>
              <w:t>full</w:t>
            </w:r>
            <w:r>
              <w:rPr>
                <w:rFonts w:ascii="Calibri Light" w:hAnsi="Calibri Light" w:cs="Calibri Light"/>
                <w:szCs w:val="22"/>
              </w:rPr>
              <w:t>-</w:t>
            </w:r>
            <w:r w:rsidRPr="007632BE">
              <w:rPr>
                <w:rFonts w:ascii="Calibri Light" w:eastAsia="Times New Roman" w:hAnsi="Calibri Light" w:cs="Calibri Light"/>
                <w:color w:val="auto"/>
                <w:szCs w:val="22"/>
                <w:lang w:eastAsia="en-GB"/>
              </w:rPr>
              <w:t>time planning and teaching</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2B96CF93"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5FD5C275"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5F7EA7">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323B23A" w:rsidR="00F1602C" w:rsidRPr="003119AA"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2A4F6EB0" w14:textId="24A0E012" w:rsidR="00317BB8" w:rsidRPr="005F7EA7" w:rsidRDefault="005F7EA7" w:rsidP="005F7EA7">
      <w:pPr>
        <w:pStyle w:val="body"/>
        <w:spacing w:before="0" w:after="0" w:line="240" w:lineRule="auto"/>
        <w:ind w:left="-709" w:right="-465"/>
        <w:rPr>
          <w:rFonts w:asciiTheme="majorHAnsi" w:eastAsiaTheme="minorHAnsi" w:hAnsiTheme="majorHAnsi" w:cstheme="majorHAnsi"/>
          <w:b/>
          <w:lang w:val="en-US"/>
        </w:rPr>
      </w:pPr>
      <w:r w:rsidRPr="005F7EA7">
        <w:rPr>
          <w:rFonts w:asciiTheme="majorHAnsi" w:eastAsiaTheme="minorHAnsi" w:hAnsiTheme="majorHAnsi" w:cstheme="majorHAnsi"/>
          <w:lang w:val="en-US"/>
        </w:rPr>
        <w:t xml:space="preserve">This unit will explore teaching methodologies, strategies and theories. It also provides a basis for advocacy and practice about inclusive education and for teaching students with special learning needs. It also includes a compulsory </w:t>
      </w:r>
      <w:r w:rsidRPr="005F7EA7">
        <w:rPr>
          <w:rFonts w:asciiTheme="majorHAnsi" w:eastAsiaTheme="minorHAnsi" w:hAnsiTheme="majorHAnsi" w:cstheme="majorHAnsi"/>
          <w:b/>
          <w:lang w:val="en-US"/>
        </w:rPr>
        <w:t>20 days</w:t>
      </w:r>
      <w:r w:rsidRPr="005F7EA7">
        <w:rPr>
          <w:rFonts w:asciiTheme="majorHAnsi" w:eastAsiaTheme="minorHAnsi" w:hAnsiTheme="majorHAnsi" w:cstheme="majorHAnsi"/>
          <w:lang w:val="en-US"/>
        </w:rPr>
        <w:t xml:space="preserve"> of professional experience that is undertaken in a school and requires pre-service teachers to integrate discipline-specific knowledge with quality pedagogical practice in school settings (the mentors report will be taken into consideration).</w:t>
      </w:r>
    </w:p>
    <w:p w14:paraId="03F27B53" w14:textId="77777777" w:rsidR="00317BB8" w:rsidRDefault="00317BB8" w:rsidP="00F1602C">
      <w:pPr>
        <w:spacing w:before="60" w:after="60"/>
        <w:ind w:left="-709"/>
        <w:rPr>
          <w:rStyle w:val="Heading2Char"/>
        </w:rPr>
      </w:pPr>
    </w:p>
    <w:p w14:paraId="3B3A09F0" w14:textId="6CEABA1A" w:rsidR="00F1602C" w:rsidRDefault="00F1602C" w:rsidP="00F1602C">
      <w:pPr>
        <w:spacing w:before="60" w:after="60"/>
        <w:ind w:left="-709"/>
        <w:rPr>
          <w:rStyle w:val="Heading2Char"/>
        </w:rPr>
      </w:pPr>
      <w:r>
        <w:rPr>
          <w:rStyle w:val="Heading2Char"/>
        </w:rPr>
        <w:t>Unit Learning Outcomes</w:t>
      </w:r>
    </w:p>
    <w:p w14:paraId="545BBF5F" w14:textId="77777777" w:rsidR="005F7EA7" w:rsidRDefault="005F7EA7" w:rsidP="005F7EA7">
      <w:pPr>
        <w:pStyle w:val="paragraph"/>
        <w:numPr>
          <w:ilvl w:val="0"/>
          <w:numId w:val="38"/>
        </w:numPr>
        <w:ind w:left="-142"/>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Plan lesson sequences that are appropriate to the context and that reflect knowledge of student learning abilities.</w:t>
      </w:r>
      <w:r>
        <w:rPr>
          <w:rStyle w:val="eop"/>
          <w:rFonts w:ascii="Calibri Light" w:hAnsi="Calibri Light" w:cs="Calibri Light"/>
          <w:sz w:val="22"/>
          <w:szCs w:val="22"/>
        </w:rPr>
        <w:t> </w:t>
      </w:r>
    </w:p>
    <w:p w14:paraId="5EC99154" w14:textId="77777777" w:rsidR="005F7EA7" w:rsidRDefault="005F7EA7" w:rsidP="005F7EA7">
      <w:pPr>
        <w:pStyle w:val="paragraph"/>
        <w:numPr>
          <w:ilvl w:val="0"/>
          <w:numId w:val="38"/>
        </w:numPr>
        <w:ind w:left="-142"/>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Design classroom activities that provide clear direction to maximise the opportunities for student learning.</w:t>
      </w:r>
      <w:r>
        <w:rPr>
          <w:rStyle w:val="eop"/>
          <w:rFonts w:ascii="Calibri Light" w:hAnsi="Calibri Light" w:cs="Calibri Light"/>
          <w:sz w:val="22"/>
          <w:szCs w:val="22"/>
        </w:rPr>
        <w:t> </w:t>
      </w:r>
    </w:p>
    <w:p w14:paraId="75D919FB" w14:textId="77777777" w:rsidR="005F7EA7" w:rsidRDefault="005F7EA7" w:rsidP="005F7EA7">
      <w:pPr>
        <w:pStyle w:val="paragraph"/>
        <w:numPr>
          <w:ilvl w:val="0"/>
          <w:numId w:val="38"/>
        </w:numPr>
        <w:ind w:left="-142"/>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lang w:val="en-AU"/>
        </w:rPr>
        <w:t>Identify and critique teaching strategies to support discipline specific knowledge.</w:t>
      </w:r>
      <w:r>
        <w:rPr>
          <w:rStyle w:val="eop"/>
          <w:rFonts w:ascii="Calibri Light" w:hAnsi="Calibri Light" w:cs="Calibri Light"/>
          <w:sz w:val="22"/>
          <w:szCs w:val="22"/>
        </w:rPr>
        <w:t> </w:t>
      </w:r>
    </w:p>
    <w:p w14:paraId="24C6A38D" w14:textId="77777777" w:rsidR="005F7EA7" w:rsidRDefault="005F7EA7" w:rsidP="005F7EA7">
      <w:pPr>
        <w:pStyle w:val="paragraph"/>
        <w:numPr>
          <w:ilvl w:val="0"/>
          <w:numId w:val="38"/>
        </w:numPr>
        <w:ind w:left="-142"/>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lang w:val="en-AU"/>
        </w:rPr>
        <w:t>Apply the specialist knowledge and pedagogical practice relevant to the learning strengths and needs of all students.</w:t>
      </w:r>
      <w:r>
        <w:rPr>
          <w:rStyle w:val="eop"/>
          <w:rFonts w:ascii="Calibri Light" w:hAnsi="Calibri Light" w:cs="Calibri Light"/>
          <w:sz w:val="22"/>
          <w:szCs w:val="22"/>
        </w:rPr>
        <w:t> </w:t>
      </w:r>
    </w:p>
    <w:p w14:paraId="4A2FEB57" w14:textId="77777777" w:rsidR="005F7EA7" w:rsidRDefault="005F7EA7" w:rsidP="005F7EA7">
      <w:pPr>
        <w:pStyle w:val="paragraph"/>
        <w:numPr>
          <w:ilvl w:val="0"/>
          <w:numId w:val="38"/>
        </w:numPr>
        <w:ind w:left="-142"/>
        <w:textAlignment w:val="baseline"/>
        <w:rPr>
          <w:rStyle w:val="eop"/>
          <w:rFonts w:ascii="Calibri Light" w:hAnsi="Calibri Light" w:cs="Calibri Light"/>
          <w:sz w:val="22"/>
          <w:szCs w:val="22"/>
        </w:rPr>
      </w:pPr>
      <w:r>
        <w:rPr>
          <w:rStyle w:val="normaltextrun"/>
          <w:rFonts w:ascii="Calibri Light" w:eastAsiaTheme="minorEastAsia" w:hAnsi="Calibri Light" w:cs="Calibri Light"/>
          <w:sz w:val="22"/>
          <w:szCs w:val="22"/>
          <w:lang w:val="en-AU"/>
        </w:rPr>
        <w:lastRenderedPageBreak/>
        <w:t>Identify, utilise and critique teaching strategies to involve parents and carers in the educative process.</w:t>
      </w:r>
    </w:p>
    <w:p w14:paraId="40070897" w14:textId="5EF6C8BF" w:rsidR="00F1602C" w:rsidRPr="005F7EA7" w:rsidRDefault="005F7EA7" w:rsidP="005F7EA7">
      <w:pPr>
        <w:pStyle w:val="paragraph"/>
        <w:numPr>
          <w:ilvl w:val="0"/>
          <w:numId w:val="38"/>
        </w:numPr>
        <w:ind w:left="-142"/>
        <w:textAlignment w:val="baseline"/>
        <w:rPr>
          <w:rStyle w:val="Heading2Char"/>
          <w:rFonts w:ascii="Calibri Light" w:hAnsi="Calibri Light" w:cs="Calibri Light"/>
          <w:b w:val="0"/>
          <w:color w:val="auto"/>
          <w:sz w:val="22"/>
        </w:rPr>
      </w:pPr>
      <w:r w:rsidRPr="005F7EA7">
        <w:rPr>
          <w:rStyle w:val="normaltextrun"/>
          <w:rFonts w:ascii="Calibri Light" w:eastAsiaTheme="minorEastAsia" w:hAnsi="Calibri Light" w:cs="Calibri Light"/>
          <w:sz w:val="22"/>
          <w:szCs w:val="22"/>
          <w:lang w:val="en-AU"/>
        </w:rPr>
        <w:t>Apply the understanding of the role of the Australian Professional Sta</w:t>
      </w:r>
      <w:r>
        <w:rPr>
          <w:rStyle w:val="normaltextrun"/>
          <w:rFonts w:ascii="Calibri Light" w:eastAsiaTheme="minorEastAsia" w:hAnsi="Calibri Light" w:cs="Calibri Light"/>
          <w:sz w:val="22"/>
          <w:szCs w:val="22"/>
          <w:lang w:val="en-AU"/>
        </w:rPr>
        <w:t xml:space="preserve">ndards for Teachers in teaching </w:t>
      </w:r>
      <w:r w:rsidRPr="005F7EA7">
        <w:rPr>
          <w:rStyle w:val="normaltextrun"/>
          <w:rFonts w:ascii="Calibri Light" w:eastAsiaTheme="minorEastAsia" w:hAnsi="Calibri Light" w:cs="Calibri Light"/>
          <w:sz w:val="22"/>
          <w:szCs w:val="22"/>
          <w:lang w:val="en-AU"/>
        </w:rPr>
        <w:t>through supporting evidence and reflecting upon own practices.</w:t>
      </w:r>
      <w:r w:rsidRPr="005F7EA7">
        <w:rPr>
          <w:rStyle w:val="eop"/>
          <w:rFonts w:ascii="Calibri Light" w:hAnsi="Calibri Light" w:cs="Calibri Light"/>
          <w:sz w:val="22"/>
          <w:szCs w:val="22"/>
        </w:rPr>
        <w:t> </w:t>
      </w:r>
    </w:p>
    <w:p w14:paraId="04E5ABF7" w14:textId="2262CA80" w:rsidR="00C56417" w:rsidRPr="00390832" w:rsidRDefault="005F7EA7" w:rsidP="00C56417">
      <w:pPr>
        <w:spacing w:before="60" w:after="60"/>
        <w:ind w:left="-709"/>
        <w:rPr>
          <w:rFonts w:eastAsiaTheme="minorHAnsi" w:cstheme="majorHAnsi"/>
          <w:szCs w:val="22"/>
        </w:rPr>
      </w:pPr>
      <w:r>
        <w:rPr>
          <w:rStyle w:val="Heading2Char"/>
        </w:rPr>
        <w:t>I</w:t>
      </w:r>
      <w:r w:rsidR="00C56417" w:rsidRPr="00390832">
        <w:rPr>
          <w:rStyle w:val="Heading2Char"/>
        </w:rPr>
        <w:t>ntroduction</w:t>
      </w:r>
      <w:r w:rsidR="00C56417"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w:t>
      </w:r>
      <w:proofErr w:type="gramStart"/>
      <w:r w:rsidRPr="00C56417">
        <w:rPr>
          <w:rFonts w:asciiTheme="majorHAnsi" w:hAnsiTheme="majorHAnsi" w:cstheme="majorHAnsi"/>
          <w:lang w:val="en-US"/>
        </w:rPr>
        <w:t>InSchool</w:t>
      </w:r>
      <w:proofErr w:type="gramEnd"/>
      <w:r w:rsidRPr="00C56417">
        <w:rPr>
          <w:rFonts w:asciiTheme="majorHAnsi" w:hAnsiTheme="majorHAnsi" w:cstheme="majorHAnsi"/>
          <w:lang w:val="en-US"/>
        </w:rPr>
        <w:t xml:space="preserve">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5FE7F3E2" w:rsidR="00F1602C" w:rsidRDefault="000852BA" w:rsidP="000431FC">
      <w:pPr>
        <w:spacing w:after="240" w:line="252" w:lineRule="auto"/>
        <w:ind w:left="-709"/>
        <w:contextualSpacing/>
        <w:rPr>
          <w:rFonts w:cstheme="majorHAnsi"/>
        </w:rPr>
      </w:pPr>
      <w:r w:rsidRPr="005F7EA7">
        <w:rPr>
          <w:rFonts w:cstheme="majorHAnsi"/>
        </w:rPr>
        <w:t xml:space="preserve">This placement is </w:t>
      </w:r>
      <w:r w:rsidR="005F7EA7" w:rsidRPr="005F7EA7">
        <w:rPr>
          <w:rFonts w:cstheme="majorHAnsi"/>
          <w:b/>
        </w:rPr>
        <w:t>20</w:t>
      </w:r>
      <w:r w:rsidR="00317BB8" w:rsidRPr="005F7EA7">
        <w:rPr>
          <w:rFonts w:cstheme="majorHAnsi"/>
          <w:b/>
        </w:rPr>
        <w:t xml:space="preserve"> </w:t>
      </w:r>
      <w:r w:rsidR="00F1602C" w:rsidRPr="005F7EA7">
        <w:rPr>
          <w:rFonts w:cstheme="majorHAnsi"/>
          <w:b/>
        </w:rPr>
        <w:t>days</w:t>
      </w:r>
      <w:r w:rsidR="00F1602C" w:rsidRPr="005F7EA7">
        <w:rPr>
          <w:rFonts w:cstheme="majorHAnsi"/>
        </w:rPr>
        <w:t xml:space="preserve"> professional experience including a </w:t>
      </w:r>
      <w:r w:rsidR="005F7EA7" w:rsidRPr="005F7EA7">
        <w:rPr>
          <w:rFonts w:cstheme="majorHAnsi"/>
        </w:rPr>
        <w:t>3</w:t>
      </w:r>
      <w:r w:rsidR="00F1602C" w:rsidRPr="005F7EA7">
        <w:rPr>
          <w:rFonts w:cstheme="majorHAnsi"/>
        </w:rPr>
        <w:t>-week block.</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39FBCD25" w14:textId="06182F02" w:rsidR="00F1602C" w:rsidRDefault="009227D1" w:rsidP="003E00A0">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380F20">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03724307" w14:textId="57B77CEF" w:rsidR="00DA5D8E" w:rsidRPr="005F7EA7" w:rsidRDefault="00DA5D8E" w:rsidP="003E00A0">
      <w:pPr>
        <w:pStyle w:val="ListParagraph"/>
        <w:numPr>
          <w:ilvl w:val="0"/>
          <w:numId w:val="5"/>
        </w:numPr>
        <w:spacing w:after="160" w:line="252" w:lineRule="auto"/>
        <w:ind w:left="426" w:firstLine="0"/>
        <w:rPr>
          <w:rFonts w:cstheme="majorHAnsi"/>
        </w:rPr>
      </w:pPr>
      <w:r w:rsidRPr="005F7EA7">
        <w:rPr>
          <w:rFonts w:cstheme="majorHAnsi"/>
        </w:rPr>
        <w:t xml:space="preserve">Week 1: Plan and teach a minimum of </w:t>
      </w:r>
      <w:r w:rsidR="005F7EA7" w:rsidRPr="005F7EA7">
        <w:rPr>
          <w:rFonts w:cstheme="majorHAnsi"/>
        </w:rPr>
        <w:t>5 lessons</w:t>
      </w:r>
    </w:p>
    <w:p w14:paraId="78CDDB0D" w14:textId="1C7A8794" w:rsidR="00DA5D8E" w:rsidRPr="005F7EA7" w:rsidRDefault="00DA5D8E" w:rsidP="003E00A0">
      <w:pPr>
        <w:pStyle w:val="ListParagraph"/>
        <w:numPr>
          <w:ilvl w:val="0"/>
          <w:numId w:val="5"/>
        </w:numPr>
        <w:spacing w:after="160" w:line="252" w:lineRule="auto"/>
        <w:ind w:left="426" w:firstLine="0"/>
        <w:rPr>
          <w:rFonts w:cstheme="majorHAnsi"/>
        </w:rPr>
      </w:pPr>
      <w:r w:rsidRPr="005F7EA7">
        <w:rPr>
          <w:rFonts w:cstheme="majorHAnsi"/>
        </w:rPr>
        <w:t xml:space="preserve">Week 2: Plan and teach a minimum of </w:t>
      </w:r>
      <w:r w:rsidR="005F7EA7">
        <w:rPr>
          <w:rFonts w:cstheme="majorHAnsi"/>
        </w:rPr>
        <w:t>10</w:t>
      </w:r>
      <w:r w:rsidR="005F7EA7" w:rsidRPr="005F7EA7">
        <w:rPr>
          <w:rFonts w:cstheme="majorHAnsi"/>
        </w:rPr>
        <w:t xml:space="preserve"> lessons</w:t>
      </w:r>
    </w:p>
    <w:p w14:paraId="4FA3068F" w14:textId="56F99431" w:rsidR="00DA5D8E" w:rsidRPr="005F7EA7" w:rsidRDefault="00DA5D8E" w:rsidP="003E00A0">
      <w:pPr>
        <w:pStyle w:val="ListParagraph"/>
        <w:numPr>
          <w:ilvl w:val="0"/>
          <w:numId w:val="5"/>
        </w:numPr>
        <w:spacing w:after="160" w:line="252" w:lineRule="auto"/>
        <w:ind w:left="426" w:firstLine="0"/>
        <w:rPr>
          <w:rFonts w:cstheme="majorHAnsi"/>
        </w:rPr>
      </w:pPr>
      <w:r w:rsidRPr="005F7EA7">
        <w:rPr>
          <w:rFonts w:cstheme="majorHAnsi"/>
        </w:rPr>
        <w:t xml:space="preserve">Week 3: </w:t>
      </w:r>
      <w:r w:rsidR="005F7EA7" w:rsidRPr="005F7EA7">
        <w:rPr>
          <w:rFonts w:cstheme="majorHAnsi"/>
        </w:rPr>
        <w:t>Full time planning and teaching*</w:t>
      </w:r>
    </w:p>
    <w:p w14:paraId="42D2ED46" w14:textId="679711D4" w:rsidR="00DA5D8E" w:rsidRPr="005F7EA7" w:rsidRDefault="00DA5D8E" w:rsidP="003E00A0">
      <w:pPr>
        <w:pStyle w:val="ListParagraph"/>
        <w:numPr>
          <w:ilvl w:val="0"/>
          <w:numId w:val="5"/>
        </w:numPr>
        <w:spacing w:after="160" w:line="252" w:lineRule="auto"/>
        <w:ind w:left="426" w:firstLine="0"/>
        <w:rPr>
          <w:rFonts w:cstheme="majorHAnsi"/>
        </w:rPr>
      </w:pPr>
      <w:r w:rsidRPr="005F7EA7">
        <w:rPr>
          <w:rFonts w:cstheme="majorHAnsi"/>
        </w:rPr>
        <w:t>Week 4: Full time planning and teaching</w:t>
      </w:r>
      <w:r w:rsidR="00380F20" w:rsidRPr="005F7EA7">
        <w:rPr>
          <w:rFonts w:cstheme="majorHAnsi"/>
        </w:rPr>
        <w:t>*</w:t>
      </w:r>
    </w:p>
    <w:p w14:paraId="1C42C3FF" w14:textId="30B94FD1" w:rsidR="00380F20" w:rsidRPr="006E657E" w:rsidRDefault="006E657E" w:rsidP="003E00A0">
      <w:pPr>
        <w:spacing w:after="160" w:line="252" w:lineRule="auto"/>
        <w:ind w:left="-709"/>
        <w:contextualSpacing/>
        <w:rPr>
          <w:rFonts w:cstheme="majorHAnsi"/>
          <w:sz w:val="20"/>
        </w:rPr>
      </w:pPr>
      <w:r w:rsidRPr="006E657E">
        <w:rPr>
          <w:rFonts w:cstheme="majorHAnsi"/>
          <w:sz w:val="20"/>
        </w:rPr>
        <w:t>*A full time teaching load may vary depending on the context of your placement. Please negotiate this with your mentor teacher. In many cases, the full time load equate</w:t>
      </w:r>
      <w:r w:rsidR="00F46EB2">
        <w:rPr>
          <w:rFonts w:cstheme="majorHAnsi"/>
          <w:sz w:val="20"/>
        </w:rPr>
        <w:t>s</w:t>
      </w:r>
      <w:r w:rsidRPr="006E657E">
        <w:rPr>
          <w:rFonts w:cstheme="majorHAnsi"/>
          <w:sz w:val="20"/>
        </w:rPr>
        <w:t xml:space="preserve"> to approximately 20-25 lessons per week. </w:t>
      </w:r>
    </w:p>
    <w:p w14:paraId="3E41985C" w14:textId="77777777" w:rsidR="006E657E" w:rsidRPr="00380F20" w:rsidRDefault="006E657E" w:rsidP="003E00A0">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6FFB23F7" w14:textId="77777777" w:rsidR="00317BB8" w:rsidRDefault="00317BB8" w:rsidP="003E00A0">
      <w:pPr>
        <w:spacing w:after="160" w:line="252" w:lineRule="auto"/>
        <w:ind w:left="-709"/>
        <w:contextualSpacing/>
        <w:rPr>
          <w:rFonts w:cstheme="majorHAnsi"/>
        </w:rPr>
      </w:pPr>
    </w:p>
    <w:p w14:paraId="2FD8262D" w14:textId="77777777" w:rsidR="006E657E" w:rsidRPr="003E00A0" w:rsidRDefault="006E657E" w:rsidP="00981A74">
      <w:pPr>
        <w:spacing w:before="60" w:after="60"/>
        <w:ind w:left="-709"/>
        <w:rPr>
          <w:rStyle w:val="Heading2Char"/>
          <w:sz w:val="22"/>
        </w:rPr>
      </w:pP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proofErr w:type="gramStart"/>
            <w:r w:rsidRPr="000930A7">
              <w:rPr>
                <w:rFonts w:asciiTheme="majorHAnsi" w:hAnsiTheme="majorHAnsi" w:cstheme="majorHAnsi"/>
                <w:color w:val="000000"/>
                <w:sz w:val="20"/>
                <w:szCs w:val="20"/>
                <w:lang w:val="en-AU"/>
              </w:rPr>
              <w:t>at</w:t>
            </w:r>
            <w:proofErr w:type="gramEnd"/>
            <w:r w:rsidRPr="000930A7">
              <w:rPr>
                <w:rFonts w:asciiTheme="majorHAnsi" w:hAnsiTheme="majorHAnsi" w:cstheme="majorHAnsi"/>
                <w:color w:val="000000"/>
                <w:sz w:val="20"/>
                <w:szCs w:val="20"/>
                <w:lang w:val="en-AU"/>
              </w:rPr>
              <w:t xml:space="preserve">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w:t>
            </w:r>
            <w:proofErr w:type="gramStart"/>
            <w:r w:rsidRPr="000930A7">
              <w:rPr>
                <w:rFonts w:asciiTheme="majorHAnsi" w:hAnsiTheme="majorHAnsi" w:cstheme="majorHAnsi"/>
                <w:sz w:val="20"/>
                <w:szCs w:val="20"/>
                <w:lang w:val="en-AU"/>
              </w:rPr>
              <w:t>class(</w:t>
            </w:r>
            <w:proofErr w:type="spellStart"/>
            <w:proofErr w:type="gramEnd"/>
            <w:r w:rsidRPr="000930A7">
              <w:rPr>
                <w:rFonts w:asciiTheme="majorHAnsi" w:hAnsiTheme="majorHAnsi" w:cstheme="majorHAnsi"/>
                <w:sz w:val="20"/>
                <w:szCs w:val="20"/>
                <w:lang w:val="en-AU"/>
              </w:rPr>
              <w:t>es</w:t>
            </w:r>
            <w:proofErr w:type="spellEnd"/>
            <w:r w:rsidRPr="000930A7">
              <w:rPr>
                <w:rFonts w:asciiTheme="majorHAnsi" w:hAnsiTheme="majorHAnsi" w:cstheme="majorHAnsi"/>
                <w:sz w:val="20"/>
                <w:szCs w:val="20"/>
                <w:lang w:val="en-AU"/>
              </w:rPr>
              <w:t>),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w:t>
            </w:r>
            <w:proofErr w:type="gramStart"/>
            <w:r w:rsidRPr="000930A7">
              <w:rPr>
                <w:rFonts w:asciiTheme="majorHAnsi" w:hAnsiTheme="majorHAnsi" w:cstheme="majorHAnsi"/>
                <w:sz w:val="20"/>
                <w:szCs w:val="20"/>
                <w:lang w:val="en-AU"/>
              </w:rPr>
              <w:t>procedures</w:t>
            </w:r>
            <w:proofErr w:type="gramEnd"/>
            <w:r w:rsidRPr="000930A7">
              <w:rPr>
                <w:rFonts w:asciiTheme="majorHAnsi" w:hAnsiTheme="majorHAnsi" w:cstheme="majorHAnsi"/>
                <w:sz w:val="20"/>
                <w:szCs w:val="20"/>
                <w:lang w:val="en-AU"/>
              </w:rPr>
              <w:t xml:space="preserve">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w:t>
            </w:r>
            <w:proofErr w:type="gramStart"/>
            <w:r w:rsidRPr="000930A7">
              <w:rPr>
                <w:rFonts w:asciiTheme="majorHAnsi" w:hAnsiTheme="majorHAnsi" w:cstheme="majorHAnsi"/>
                <w:sz w:val="20"/>
                <w:szCs w:val="20"/>
                <w:lang w:val="en-AU"/>
              </w:rPr>
              <w:t>your</w:t>
            </w:r>
            <w:proofErr w:type="gramEnd"/>
            <w:r w:rsidRPr="000930A7">
              <w:rPr>
                <w:rFonts w:asciiTheme="majorHAnsi" w:hAnsiTheme="majorHAnsi" w:cstheme="majorHAnsi"/>
                <w:sz w:val="20"/>
                <w:szCs w:val="20"/>
                <w:lang w:val="en-AU"/>
              </w:rPr>
              <w:t xml:space="preserve">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197F5D79"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w:t>
            </w:r>
            <w:r w:rsidR="005F7EA7">
              <w:rPr>
                <w:rFonts w:ascii="Calibri Light" w:hAnsi="Calibri Light" w:cs="Calibri Light"/>
              </w:rPr>
              <w:t>evidence of proficiency against</w:t>
            </w:r>
            <w:r w:rsidRPr="00C77C04">
              <w:rPr>
                <w:rFonts w:ascii="Calibri Light" w:hAnsi="Calibri Light" w:cs="Calibri Light"/>
              </w:rPr>
              <w:t xml:space="preserve">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C730A" w14:textId="77777777" w:rsidR="002B47F4" w:rsidRDefault="002B47F4" w:rsidP="00452E05">
      <w:r>
        <w:separator/>
      </w:r>
    </w:p>
  </w:endnote>
  <w:endnote w:type="continuationSeparator" w:id="0">
    <w:p w14:paraId="4842CFA3" w14:textId="77777777" w:rsidR="002B47F4" w:rsidRDefault="002B47F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4A03F9BA"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D761C5">
          <w:rPr>
            <w:rFonts w:cstheme="majorHAnsi"/>
            <w:b/>
            <w:bCs/>
            <w:noProof/>
            <w:color w:val="000000" w:themeColor="text1"/>
            <w:sz w:val="24"/>
            <w:lang w:val="en-GB"/>
          </w:rPr>
          <w:t>2</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D761C5">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51396ACB"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D761C5">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D761C5">
      <w:rPr>
        <w:rFonts w:cstheme="majorHAnsi"/>
        <w:b/>
        <w:bCs/>
        <w:noProof/>
        <w:color w:val="000000" w:themeColor="text1"/>
        <w:szCs w:val="22"/>
        <w:lang w:val="en-GB"/>
      </w:rPr>
      <w:t>12</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005F7EA7">
      <w:rPr>
        <w:rFonts w:cstheme="majorHAnsi"/>
        <w:i/>
        <w:color w:val="auto"/>
        <w:szCs w:val="22"/>
      </w:rPr>
      <w:t>v1 15.04.23</w:t>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62CE9" w14:textId="77777777" w:rsidR="002B47F4" w:rsidRDefault="002B47F4" w:rsidP="00452E05">
      <w:r>
        <w:separator/>
      </w:r>
    </w:p>
  </w:footnote>
  <w:footnote w:type="continuationSeparator" w:id="0">
    <w:p w14:paraId="03F4C224" w14:textId="77777777" w:rsidR="002B47F4" w:rsidRDefault="002B47F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2B47F4">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36CDC73E" w:rsidR="003E00A0" w:rsidRPr="00237977" w:rsidRDefault="003E00A0" w:rsidP="005F7EA7">
    <w:pPr>
      <w:pStyle w:val="Heading1"/>
      <w:spacing w:after="0"/>
      <w:ind w:right="-795"/>
      <w:jc w:val="center"/>
      <w:rPr>
        <w:sz w:val="24"/>
        <w:szCs w:val="28"/>
      </w:rPr>
    </w:pPr>
    <w:r w:rsidRPr="00237977">
      <w:rPr>
        <w:sz w:val="24"/>
        <w:szCs w:val="28"/>
      </w:rPr>
      <w:t>R</w:t>
    </w:r>
    <w:r>
      <w:rPr>
        <w:sz w:val="24"/>
        <w:szCs w:val="28"/>
      </w:rPr>
      <w:t xml:space="preserve">equirements and Guidelines: </w:t>
    </w:r>
    <w:r w:rsidR="005F7EA7">
      <w:rPr>
        <w:sz w:val="24"/>
        <w:szCs w:val="28"/>
      </w:rPr>
      <w:t>EPR211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4" w15:restartNumberingAfterBreak="0">
    <w:nsid w:val="3BF61810"/>
    <w:multiLevelType w:val="hybridMultilevel"/>
    <w:tmpl w:val="87287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8"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3"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0"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2"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4"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3"/>
  </w:num>
  <w:num w:numId="5">
    <w:abstractNumId w:val="13"/>
  </w:num>
  <w:num w:numId="6">
    <w:abstractNumId w:val="24"/>
  </w:num>
  <w:num w:numId="7">
    <w:abstractNumId w:val="33"/>
  </w:num>
  <w:num w:numId="8">
    <w:abstractNumId w:val="20"/>
  </w:num>
  <w:num w:numId="9">
    <w:abstractNumId w:val="25"/>
  </w:num>
  <w:num w:numId="10">
    <w:abstractNumId w:val="11"/>
  </w:num>
  <w:num w:numId="11">
    <w:abstractNumId w:val="9"/>
  </w:num>
  <w:num w:numId="12">
    <w:abstractNumId w:val="2"/>
  </w:num>
  <w:num w:numId="13">
    <w:abstractNumId w:val="6"/>
  </w:num>
  <w:num w:numId="14">
    <w:abstractNumId w:val="26"/>
  </w:num>
  <w:num w:numId="15">
    <w:abstractNumId w:val="28"/>
  </w:num>
  <w:num w:numId="16">
    <w:abstractNumId w:val="32"/>
  </w:num>
  <w:num w:numId="17">
    <w:abstractNumId w:val="7"/>
  </w:num>
  <w:num w:numId="18">
    <w:abstractNumId w:val="24"/>
  </w:num>
  <w:num w:numId="19">
    <w:abstractNumId w:val="24"/>
  </w:num>
  <w:num w:numId="20">
    <w:abstractNumId w:val="24"/>
  </w:num>
  <w:num w:numId="21">
    <w:abstractNumId w:val="22"/>
  </w:num>
  <w:num w:numId="22">
    <w:abstractNumId w:val="16"/>
  </w:num>
  <w:num w:numId="23">
    <w:abstractNumId w:val="15"/>
  </w:num>
  <w:num w:numId="24">
    <w:abstractNumId w:val="29"/>
  </w:num>
  <w:num w:numId="25">
    <w:abstractNumId w:val="18"/>
  </w:num>
  <w:num w:numId="26">
    <w:abstractNumId w:val="34"/>
  </w:num>
  <w:num w:numId="27">
    <w:abstractNumId w:val="12"/>
  </w:num>
  <w:num w:numId="28">
    <w:abstractNumId w:val="30"/>
  </w:num>
  <w:num w:numId="29">
    <w:abstractNumId w:val="21"/>
  </w:num>
  <w:num w:numId="30">
    <w:abstractNumId w:val="5"/>
  </w:num>
  <w:num w:numId="31">
    <w:abstractNumId w:val="4"/>
  </w:num>
  <w:num w:numId="32">
    <w:abstractNumId w:val="27"/>
  </w:num>
  <w:num w:numId="33">
    <w:abstractNumId w:val="8"/>
  </w:num>
  <w:num w:numId="34">
    <w:abstractNumId w:val="17"/>
  </w:num>
  <w:num w:numId="35">
    <w:abstractNumId w:val="31"/>
  </w:num>
  <w:num w:numId="36">
    <w:abstractNumId w:val="10"/>
  </w:num>
  <w:num w:numId="37">
    <w:abstractNumId w:val="23"/>
  </w:num>
  <w:num w:numId="3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WaTvVMRlsovZZmq0jVZZmGPBjxAk/vEzqpVMfHAf3veg6XommAviHX5hkgqdaw4BQKr3L1b41T5aAYkJKD1+A==" w:salt="T+M/RIP54dZktPCtkA7Qa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A3D38"/>
    <w:rsid w:val="001B5BCC"/>
    <w:rsid w:val="001C11FA"/>
    <w:rsid w:val="001C225A"/>
    <w:rsid w:val="001C4923"/>
    <w:rsid w:val="001E1067"/>
    <w:rsid w:val="001E1F33"/>
    <w:rsid w:val="001E67FB"/>
    <w:rsid w:val="00207B83"/>
    <w:rsid w:val="0021239F"/>
    <w:rsid w:val="00217C3E"/>
    <w:rsid w:val="002435DE"/>
    <w:rsid w:val="002919B0"/>
    <w:rsid w:val="002925FF"/>
    <w:rsid w:val="00296482"/>
    <w:rsid w:val="0029790B"/>
    <w:rsid w:val="00297A84"/>
    <w:rsid w:val="002B47F4"/>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5F7EA7"/>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95069"/>
    <w:rsid w:val="008A19FF"/>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3349C"/>
    <w:rsid w:val="00B378BF"/>
    <w:rsid w:val="00B415C1"/>
    <w:rsid w:val="00B46D48"/>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761C5"/>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A78B09-441A-4169-B6BD-431B3360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59</TotalTime>
  <Pages>12</Pages>
  <Words>5273</Words>
  <Characters>30060</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10</cp:revision>
  <cp:lastPrinted>2023-03-06T22:18:00Z</cp:lastPrinted>
  <dcterms:created xsi:type="dcterms:W3CDTF">2023-03-07T02:25:00Z</dcterms:created>
  <dcterms:modified xsi:type="dcterms:W3CDTF">2023-04-22T04:35:00Z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