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A1B9" w14:textId="77777777" w:rsidR="00CF0F64" w:rsidRDefault="00F1602C" w:rsidP="00CF0F64">
      <w:pPr>
        <w:pStyle w:val="Title"/>
        <w:ind w:left="-851"/>
        <w:rPr>
          <w:szCs w:val="48"/>
          <w:lang w:bidi="en-AU"/>
        </w:rPr>
      </w:pPr>
      <w:bookmarkStart w:id="0" w:name="_GoBack"/>
      <w:bookmarkEnd w:id="0"/>
      <w:r>
        <w:rPr>
          <w:szCs w:val="48"/>
          <w:lang w:bidi="en-AU"/>
        </w:rPr>
        <w:t>Requirements and Guidelines</w:t>
      </w:r>
      <w:bookmarkStart w:id="1" w:name="_Hlk78723136"/>
    </w:p>
    <w:p w14:paraId="6E921B27" w14:textId="78F63158" w:rsidR="00CF0F64" w:rsidRPr="00CF0F64" w:rsidRDefault="00CF0F64" w:rsidP="00CF0F64">
      <w:pPr>
        <w:pStyle w:val="Title"/>
        <w:ind w:left="-851"/>
        <w:rPr>
          <w:szCs w:val="48"/>
          <w:lang w:bidi="en-AU"/>
        </w:rPr>
      </w:pPr>
      <w:r w:rsidRPr="00661DE7">
        <w:rPr>
          <w:sz w:val="44"/>
          <w:szCs w:val="48"/>
          <w:lang w:bidi="en-AU"/>
        </w:rPr>
        <w:t>EP</w:t>
      </w:r>
      <w:r w:rsidR="00091362">
        <w:rPr>
          <w:sz w:val="44"/>
          <w:szCs w:val="48"/>
          <w:lang w:bidi="en-AU"/>
        </w:rPr>
        <w:t>R301</w:t>
      </w:r>
      <w:r w:rsidRPr="00661DE7">
        <w:rPr>
          <w:sz w:val="44"/>
          <w:szCs w:val="48"/>
          <w:lang w:bidi="en-AU"/>
        </w:rPr>
        <w:t xml:space="preserve"> Professional Experience</w:t>
      </w:r>
      <w:r w:rsidR="00091362">
        <w:rPr>
          <w:sz w:val="44"/>
          <w:szCs w:val="48"/>
          <w:lang w:bidi="en-AU"/>
        </w:rPr>
        <w:t xml:space="preserve"> 4</w:t>
      </w:r>
      <w:r w:rsidRPr="00661DE7">
        <w:rPr>
          <w:sz w:val="44"/>
          <w:szCs w:val="48"/>
          <w:lang w:bidi="en-AU"/>
        </w:rPr>
        <w:t xml:space="preserve">: </w:t>
      </w:r>
    </w:p>
    <w:bookmarkEnd w:id="1"/>
    <w:p w14:paraId="370AF565" w14:textId="29F9AAF5" w:rsidR="00A72310" w:rsidRDefault="00091362" w:rsidP="00CF0F64">
      <w:pPr>
        <w:pStyle w:val="Title"/>
        <w:ind w:left="-851"/>
        <w:rPr>
          <w:szCs w:val="48"/>
          <w:lang w:bidi="en-AU"/>
        </w:rPr>
      </w:pPr>
      <w:r>
        <w:rPr>
          <w:sz w:val="44"/>
          <w:szCs w:val="48"/>
          <w:lang w:bidi="en-AU"/>
        </w:rPr>
        <w:t>Classroom Ready</w:t>
      </w:r>
    </w:p>
    <w:p w14:paraId="206CD7DA" w14:textId="77777777" w:rsidR="00F1602C" w:rsidRDefault="00F1602C" w:rsidP="00A72310">
      <w:pPr>
        <w:spacing w:before="60" w:after="60"/>
        <w:ind w:left="-851"/>
        <w:rPr>
          <w:rStyle w:val="Heading2Char"/>
        </w:rPr>
      </w:pPr>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2978"/>
        <w:gridCol w:w="7938"/>
      </w:tblGrid>
      <w:tr w:rsidR="00CF0F64" w14:paraId="42457BF6" w14:textId="77777777" w:rsidTr="00CF0F64">
        <w:tc>
          <w:tcPr>
            <w:tcW w:w="2978" w:type="dxa"/>
            <w:vAlign w:val="center"/>
          </w:tcPr>
          <w:p w14:paraId="71E1F205"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7938" w:type="dxa"/>
            <w:vAlign w:val="center"/>
          </w:tcPr>
          <w:p w14:paraId="040EAE68" w14:textId="5CF15A7B" w:rsidR="00CF0F64" w:rsidRDefault="00091362" w:rsidP="00CF0F64">
            <w:r>
              <w:rPr>
                <w:rFonts w:ascii="Calibri Light" w:hAnsi="Calibri Light" w:cs="Calibri Light"/>
                <w:szCs w:val="22"/>
              </w:rPr>
              <w:t>EPR301 Professional Experience 4 – Classroom Ready</w:t>
            </w:r>
          </w:p>
        </w:tc>
      </w:tr>
      <w:tr w:rsidR="00CF0F64" w14:paraId="573C7F0B" w14:textId="77777777" w:rsidTr="00CF0F64">
        <w:tc>
          <w:tcPr>
            <w:tcW w:w="2978" w:type="dxa"/>
            <w:vAlign w:val="center"/>
          </w:tcPr>
          <w:p w14:paraId="7EB15E56"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7938" w:type="dxa"/>
            <w:vAlign w:val="center"/>
          </w:tcPr>
          <w:p w14:paraId="757CFE81" w14:textId="027BA916" w:rsidR="00CF0F64" w:rsidRDefault="00091362" w:rsidP="00CF0F64">
            <w:r>
              <w:rPr>
                <w:rFonts w:ascii="Calibri Light" w:hAnsi="Calibri Light" w:cs="Calibri Light"/>
                <w:szCs w:val="22"/>
              </w:rPr>
              <w:t>40</w:t>
            </w:r>
            <w:r w:rsidR="00CF0F64">
              <w:rPr>
                <w:rFonts w:ascii="Calibri Light" w:hAnsi="Calibri Light" w:cs="Calibri Light"/>
                <w:szCs w:val="22"/>
              </w:rPr>
              <w:t xml:space="preserve"> days profe</w:t>
            </w:r>
            <w:r>
              <w:rPr>
                <w:rFonts w:ascii="Calibri Light" w:hAnsi="Calibri Light" w:cs="Calibri Light"/>
                <w:szCs w:val="22"/>
              </w:rPr>
              <w:t>ssional experience including a 8</w:t>
            </w:r>
            <w:r w:rsidR="00CF0F64">
              <w:rPr>
                <w:rFonts w:ascii="Calibri Light" w:hAnsi="Calibri Light" w:cs="Calibri Light"/>
                <w:szCs w:val="22"/>
              </w:rPr>
              <w:t>-week block</w:t>
            </w:r>
          </w:p>
        </w:tc>
      </w:tr>
      <w:tr w:rsidR="00091362" w14:paraId="7D9054BA" w14:textId="77777777" w:rsidTr="00CF0F64">
        <w:tc>
          <w:tcPr>
            <w:tcW w:w="2978" w:type="dxa"/>
            <w:vAlign w:val="center"/>
          </w:tcPr>
          <w:p w14:paraId="1D84A557" w14:textId="58CA72D4" w:rsidR="00091362" w:rsidRPr="00446887" w:rsidRDefault="00091362" w:rsidP="00CF0F64">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7938" w:type="dxa"/>
            <w:vAlign w:val="center"/>
          </w:tcPr>
          <w:p w14:paraId="5500322A" w14:textId="77777777" w:rsidR="00091362" w:rsidRPr="007632BE" w:rsidRDefault="00091362" w:rsidP="00091362">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WEDP and BEDP: </w:t>
            </w:r>
            <w:r w:rsidRPr="007632BE">
              <w:rPr>
                <w:rFonts w:ascii="Calibri Light" w:hAnsi="Calibri Light" w:cs="Calibri Light"/>
                <w:b/>
                <w:bCs/>
                <w:sz w:val="22"/>
                <w:szCs w:val="22"/>
              </w:rPr>
              <w:t xml:space="preserve">Primary school any year level. </w:t>
            </w:r>
          </w:p>
          <w:p w14:paraId="04C7BC52" w14:textId="1B8572B3" w:rsidR="00091362" w:rsidRPr="00091362" w:rsidRDefault="00091362" w:rsidP="00091362">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WEDS, BEDS, WEDS01, BEDSHP, BEDSHS, BEDSIT, BEDSMA, BEDSMU, BEDSSC, BEDSVA:  </w:t>
            </w:r>
            <w:r w:rsidRPr="007632BE">
              <w:rPr>
                <w:rFonts w:ascii="Calibri Light" w:hAnsi="Calibri Light" w:cs="Calibri Light"/>
                <w:b/>
                <w:bCs/>
                <w:sz w:val="22"/>
                <w:szCs w:val="22"/>
              </w:rPr>
              <w:t xml:space="preserve">Secondary </w:t>
            </w:r>
            <w:r>
              <w:rPr>
                <w:rFonts w:ascii="Calibri Light" w:hAnsi="Calibri Light" w:cs="Calibri Light"/>
                <w:b/>
                <w:bCs/>
                <w:sz w:val="22"/>
                <w:szCs w:val="22"/>
              </w:rPr>
              <w:t xml:space="preserve">school </w:t>
            </w:r>
            <w:r w:rsidRPr="007632BE">
              <w:rPr>
                <w:rFonts w:ascii="Calibri Light" w:hAnsi="Calibri Light" w:cs="Calibri Light"/>
                <w:b/>
                <w:bCs/>
                <w:sz w:val="22"/>
                <w:szCs w:val="22"/>
              </w:rPr>
              <w:t>any year level</w:t>
            </w:r>
          </w:p>
        </w:tc>
      </w:tr>
      <w:tr w:rsidR="00CF0F64" w14:paraId="1FE06E06" w14:textId="77777777" w:rsidTr="00CF0F64">
        <w:tc>
          <w:tcPr>
            <w:tcW w:w="2978" w:type="dxa"/>
            <w:vAlign w:val="center"/>
          </w:tcPr>
          <w:p w14:paraId="1A23F7FA"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7938" w:type="dxa"/>
            <w:vAlign w:val="center"/>
          </w:tcPr>
          <w:p w14:paraId="0E9BCD99" w14:textId="77777777" w:rsidR="006961C2" w:rsidRDefault="006961C2" w:rsidP="006961C2">
            <w:pPr>
              <w:rPr>
                <w:rFonts w:ascii="Calibri Light" w:hAnsi="Calibri Light" w:cs="Calibri Light"/>
                <w:szCs w:val="22"/>
              </w:rPr>
            </w:pPr>
          </w:p>
          <w:p w14:paraId="1D051752" w14:textId="18B90FB2" w:rsidR="00CF0F64" w:rsidRPr="00CF0F64" w:rsidRDefault="00CF0F64" w:rsidP="006961C2">
            <w:pPr>
              <w:rPr>
                <w:rFonts w:ascii="Calibri Light" w:eastAsia="Times New Roman" w:hAnsi="Calibri Light" w:cs="Calibri Light"/>
                <w:color w:val="auto"/>
                <w:szCs w:val="22"/>
                <w:lang w:eastAsia="en-GB"/>
              </w:rPr>
            </w:pPr>
            <w:r w:rsidRPr="006961C2">
              <w:rPr>
                <w:rFonts w:ascii="Calibri Light" w:hAnsi="Calibri Light" w:cs="Calibri Light"/>
                <w:szCs w:val="22"/>
              </w:rPr>
              <w:t>Assessment</w:t>
            </w:r>
            <w:r w:rsidRPr="00CF0F64">
              <w:rPr>
                <w:rFonts w:ascii="Calibri Light" w:eastAsia="Times New Roman" w:hAnsi="Calibri Light" w:cs="Calibri Light"/>
                <w:color w:val="auto"/>
                <w:szCs w:val="22"/>
                <w:lang w:eastAsia="en-GB"/>
              </w:rPr>
              <w:t xml:space="preserve"> for Graduate Teaching (AfGT):</w:t>
            </w:r>
          </w:p>
          <w:p w14:paraId="675C69A5" w14:textId="77777777" w:rsidR="00CF0F64" w:rsidRPr="00CF0F64" w:rsidRDefault="00CF0F64" w:rsidP="00CF0F64">
            <w:pPr>
              <w:numPr>
                <w:ilvl w:val="0"/>
                <w:numId w:val="38"/>
              </w:numPr>
              <w:spacing w:beforeLines="60" w:before="144" w:afterLines="60" w:after="144"/>
              <w:textAlignment w:val="baseline"/>
              <w:rPr>
                <w:rFonts w:ascii="Calibri Light" w:eastAsia="Times New Roman" w:hAnsi="Calibri Light" w:cs="Calibri Light"/>
                <w:color w:val="auto"/>
                <w:szCs w:val="22"/>
                <w:lang w:eastAsia="en-GB"/>
              </w:rPr>
            </w:pPr>
            <w:r w:rsidRPr="00CF0F64">
              <w:rPr>
                <w:rFonts w:ascii="Calibri Light" w:eastAsia="Times New Roman" w:hAnsi="Calibri Light" w:cs="Calibri Light"/>
                <w:color w:val="auto"/>
                <w:szCs w:val="22"/>
                <w:lang w:eastAsia="en-GB"/>
              </w:rPr>
              <w:t>Elements 1-3 completed during placement</w:t>
            </w:r>
          </w:p>
          <w:p w14:paraId="4CBD93EB" w14:textId="5F4DDC5F" w:rsidR="00CF0F64" w:rsidRPr="00CF0F64" w:rsidRDefault="00CF0F64" w:rsidP="00CF0F64">
            <w:pPr>
              <w:pStyle w:val="ListParagraph"/>
              <w:numPr>
                <w:ilvl w:val="0"/>
                <w:numId w:val="38"/>
              </w:numPr>
              <w:spacing w:beforeLines="60" w:before="144" w:afterLines="60" w:after="144"/>
              <w:textAlignment w:val="baseline"/>
            </w:pPr>
            <w:r w:rsidRPr="00CF0F64">
              <w:rPr>
                <w:rFonts w:ascii="Calibri Light" w:eastAsia="Times New Roman" w:hAnsi="Calibri Light" w:cs="Calibri Light"/>
                <w:color w:val="auto"/>
                <w:szCs w:val="22"/>
                <w:lang w:eastAsia="en-GB"/>
              </w:rPr>
              <w:t>Element 4 – completed online and separately from the placement</w:t>
            </w:r>
          </w:p>
        </w:tc>
      </w:tr>
      <w:tr w:rsidR="00CF0F64" w14:paraId="2F712928" w14:textId="77777777" w:rsidTr="006961C2">
        <w:tc>
          <w:tcPr>
            <w:tcW w:w="2978" w:type="dxa"/>
            <w:vAlign w:val="center"/>
          </w:tcPr>
          <w:p w14:paraId="7FE992E0"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7938" w:type="dxa"/>
            <w:vAlign w:val="center"/>
          </w:tcPr>
          <w:p w14:paraId="3EB48C24" w14:textId="65166769" w:rsidR="00CF0F64" w:rsidRDefault="00CF0F64" w:rsidP="006961C2">
            <w:r w:rsidRPr="00561440">
              <w:t>Completion of Elements,</w:t>
            </w:r>
            <w:r w:rsidR="00091362">
              <w:t xml:space="preserve"> 1, 2 and 3 of the AfGT during 6</w:t>
            </w:r>
            <w:r w:rsidRPr="00561440">
              <w:t xml:space="preserve"> weeks of “continuous” </w:t>
            </w:r>
            <w:r w:rsidRPr="006961C2">
              <w:rPr>
                <w:rFonts w:ascii="Calibri Light" w:hAnsi="Calibri Light" w:cs="Calibri Light"/>
                <w:szCs w:val="22"/>
              </w:rPr>
              <w:t>teaching</w:t>
            </w:r>
          </w:p>
        </w:tc>
      </w:tr>
      <w:tr w:rsidR="00CF0F64" w14:paraId="23BFADAA" w14:textId="77777777" w:rsidTr="00CF0F64">
        <w:tc>
          <w:tcPr>
            <w:tcW w:w="2978" w:type="dxa"/>
            <w:vAlign w:val="center"/>
          </w:tcPr>
          <w:p w14:paraId="2344A279" w14:textId="77777777" w:rsidR="00CF0F64" w:rsidRPr="003119AA" w:rsidRDefault="00CF0F64" w:rsidP="00CF0F64">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7938" w:type="dxa"/>
          </w:tcPr>
          <w:p w14:paraId="3BD0B2B8" w14:textId="2B96CF93" w:rsidR="00CF0F64" w:rsidRPr="00561440" w:rsidRDefault="00CF0F64" w:rsidP="006961C2">
            <w:pPr>
              <w:spacing w:beforeLines="60" w:before="144" w:afterLines="60" w:after="144"/>
              <w:ind w:left="34"/>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155E08D5" w:rsidR="00CF0F64" w:rsidRPr="00561440" w:rsidRDefault="00CF0F64" w:rsidP="00CF0F64">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CF0F64" w:rsidRPr="003119AA" w:rsidRDefault="00CF0F64" w:rsidP="00CF0F64">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0926C77A" w14:textId="77777777" w:rsidR="00091362" w:rsidRPr="00091362" w:rsidRDefault="00091362" w:rsidP="00091362">
      <w:pPr>
        <w:spacing w:before="60" w:after="60"/>
        <w:ind w:left="-709"/>
        <w:rPr>
          <w:rFonts w:eastAsiaTheme="minorHAnsi" w:cstheme="majorHAnsi"/>
          <w:color w:val="auto"/>
          <w:szCs w:val="22"/>
          <w:lang w:val="en-AU"/>
        </w:rPr>
      </w:pPr>
      <w:r w:rsidRPr="00091362">
        <w:rPr>
          <w:rFonts w:eastAsiaTheme="minorHAnsi" w:cstheme="majorHAnsi"/>
          <w:color w:val="auto"/>
          <w:szCs w:val="22"/>
        </w:rPr>
        <w:t xml:space="preserve">This unit will incorporate all aspects of previous placement units with emphasis on programming and planning, and assessment practices over an extended period. This unit requires pre-service teachers to draw on all aspects of the course to provide </w:t>
      </w:r>
      <w:r w:rsidRPr="00091362">
        <w:rPr>
          <w:rFonts w:eastAsiaTheme="minorHAnsi" w:cstheme="majorHAnsi"/>
          <w:b/>
          <w:bCs/>
          <w:i/>
          <w:iCs/>
          <w:color w:val="auto"/>
          <w:szCs w:val="22"/>
        </w:rPr>
        <w:t>evidence</w:t>
      </w:r>
      <w:r w:rsidRPr="00091362">
        <w:rPr>
          <w:rFonts w:eastAsiaTheme="minorHAnsi" w:cstheme="majorHAnsi"/>
          <w:b/>
          <w:bCs/>
          <w:color w:val="auto"/>
          <w:szCs w:val="22"/>
        </w:rPr>
        <w:t xml:space="preserve"> </w:t>
      </w:r>
      <w:r w:rsidRPr="00091362">
        <w:rPr>
          <w:rFonts w:eastAsiaTheme="minorHAnsi" w:cstheme="majorHAnsi"/>
          <w:color w:val="auto"/>
          <w:szCs w:val="22"/>
        </w:rPr>
        <w:t>that confirms Teaching Performance Assessment and identify reflective practices in accordance with the Graduate Standards and is the final professional experience unit in the sequence.</w:t>
      </w:r>
    </w:p>
    <w:p w14:paraId="3B3A09F0" w14:textId="6CEABA1A" w:rsidR="00F1602C" w:rsidRDefault="00F1602C" w:rsidP="00F1602C">
      <w:pPr>
        <w:spacing w:before="60" w:after="60"/>
        <w:ind w:left="-709"/>
        <w:rPr>
          <w:rStyle w:val="Heading2Char"/>
        </w:rPr>
      </w:pPr>
      <w:r>
        <w:rPr>
          <w:rStyle w:val="Heading2Char"/>
        </w:rPr>
        <w:t>Unit Learning Outcomes</w:t>
      </w:r>
    </w:p>
    <w:tbl>
      <w:tblPr>
        <w:tblW w:w="5000" w:type="pct"/>
        <w:tblCellSpacing w:w="0" w:type="dxa"/>
        <w:tblInd w:w="-567" w:type="dxa"/>
        <w:shd w:val="clear" w:color="auto" w:fill="FFFFFF"/>
        <w:tblCellMar>
          <w:left w:w="0" w:type="dxa"/>
          <w:right w:w="0" w:type="dxa"/>
        </w:tblCellMar>
        <w:tblLook w:val="04A0" w:firstRow="1" w:lastRow="0" w:firstColumn="1" w:lastColumn="0" w:noHBand="0" w:noVBand="1"/>
      </w:tblPr>
      <w:tblGrid>
        <w:gridCol w:w="9270"/>
      </w:tblGrid>
      <w:tr w:rsidR="00091362" w:rsidRPr="00390832" w14:paraId="78ADAAC3" w14:textId="77777777" w:rsidTr="006C6CA4">
        <w:trPr>
          <w:tblCellSpacing w:w="0" w:type="dxa"/>
        </w:trPr>
        <w:tc>
          <w:tcPr>
            <w:tcW w:w="0" w:type="auto"/>
            <w:shd w:val="clear" w:color="auto" w:fill="FFFFFF"/>
            <w:hideMark/>
          </w:tcPr>
          <w:p w14:paraId="513BA820" w14:textId="4679CE05" w:rsidR="00091362" w:rsidRPr="00CF0F64" w:rsidRDefault="00091362" w:rsidP="00091362">
            <w:pPr>
              <w:pStyle w:val="ListParagraph"/>
              <w:numPr>
                <w:ilvl w:val="0"/>
                <w:numId w:val="39"/>
              </w:numPr>
              <w:spacing w:before="0" w:after="0"/>
              <w:rPr>
                <w:rFonts w:eastAsia="Times New Roman" w:cstheme="majorHAnsi"/>
                <w:color w:val="000000"/>
                <w:szCs w:val="22"/>
                <w:lang w:val="en-AU" w:eastAsia="en-AU"/>
              </w:rPr>
            </w:pPr>
            <w:r w:rsidRPr="004A580C">
              <w:rPr>
                <w:rStyle w:val="normaltextrun"/>
                <w:rFonts w:ascii="Calibri Light" w:hAnsi="Calibri Light" w:cs="Calibri Light"/>
                <w:color w:val="000000"/>
              </w:rPr>
              <w:t>Develop the knowledge of lesson plan sequences/units of work using students’ own learning practice.</w:t>
            </w:r>
            <w:r w:rsidRPr="004A580C">
              <w:rPr>
                <w:rStyle w:val="normaltextrun"/>
              </w:rPr>
              <w:t> </w:t>
            </w:r>
          </w:p>
        </w:tc>
      </w:tr>
      <w:tr w:rsidR="00091362" w:rsidRPr="00390832" w14:paraId="0C24B666" w14:textId="77777777" w:rsidTr="006C6CA4">
        <w:trPr>
          <w:tblCellSpacing w:w="0" w:type="dxa"/>
        </w:trPr>
        <w:tc>
          <w:tcPr>
            <w:tcW w:w="0" w:type="auto"/>
            <w:shd w:val="clear" w:color="auto" w:fill="FFFFFF"/>
            <w:hideMark/>
          </w:tcPr>
          <w:p w14:paraId="397D048F" w14:textId="677FBD78" w:rsidR="00091362" w:rsidRPr="00CF0F64" w:rsidRDefault="00091362" w:rsidP="00091362">
            <w:pPr>
              <w:pStyle w:val="ListParagraph"/>
              <w:numPr>
                <w:ilvl w:val="0"/>
                <w:numId w:val="39"/>
              </w:numPr>
              <w:spacing w:before="0" w:after="0"/>
              <w:rPr>
                <w:rFonts w:eastAsia="Times New Roman" w:cstheme="majorHAnsi"/>
                <w:color w:val="000000"/>
                <w:szCs w:val="22"/>
                <w:lang w:val="en-AU" w:eastAsia="en-AU"/>
              </w:rPr>
            </w:pPr>
            <w:r w:rsidRPr="004A580C">
              <w:rPr>
                <w:rStyle w:val="normaltextrun"/>
                <w:rFonts w:ascii="Calibri Light" w:hAnsi="Calibri Light" w:cs="Calibri Light"/>
                <w:color w:val="000000"/>
              </w:rPr>
              <w:t>Construct a rationale for continued professional learning and the implications for improved student learning.</w:t>
            </w:r>
            <w:r w:rsidRPr="004A580C">
              <w:rPr>
                <w:rStyle w:val="normaltextrun"/>
                <w:color w:val="000000"/>
              </w:rPr>
              <w:t> </w:t>
            </w:r>
          </w:p>
        </w:tc>
      </w:tr>
      <w:tr w:rsidR="00091362" w:rsidRPr="00390832" w14:paraId="0738585A" w14:textId="77777777" w:rsidTr="006C6CA4">
        <w:trPr>
          <w:tblCellSpacing w:w="0" w:type="dxa"/>
        </w:trPr>
        <w:tc>
          <w:tcPr>
            <w:tcW w:w="0" w:type="auto"/>
            <w:shd w:val="clear" w:color="auto" w:fill="FFFFFF"/>
            <w:hideMark/>
          </w:tcPr>
          <w:p w14:paraId="77760F5D" w14:textId="2227276F" w:rsidR="00091362" w:rsidRPr="00CF0F64" w:rsidRDefault="00091362" w:rsidP="00091362">
            <w:pPr>
              <w:pStyle w:val="ListParagraph"/>
              <w:numPr>
                <w:ilvl w:val="0"/>
                <w:numId w:val="39"/>
              </w:numPr>
              <w:spacing w:before="0" w:after="0"/>
              <w:rPr>
                <w:rFonts w:eastAsia="Times New Roman" w:cstheme="majorHAnsi"/>
                <w:color w:val="000000"/>
                <w:szCs w:val="22"/>
                <w:lang w:val="en-AU" w:eastAsia="en-AU"/>
              </w:rPr>
            </w:pPr>
            <w:r w:rsidRPr="004A580C">
              <w:rPr>
                <w:rStyle w:val="normaltextrun"/>
                <w:rFonts w:ascii="Calibri Light" w:hAnsi="Calibri Light" w:cs="Calibri Light"/>
                <w:color w:val="000000"/>
              </w:rPr>
              <w:t>Appraise and use a range of resources including technologies that engage students in their learning.</w:t>
            </w:r>
            <w:r w:rsidRPr="004A580C">
              <w:rPr>
                <w:rStyle w:val="normaltextrun"/>
                <w:color w:val="000000"/>
              </w:rPr>
              <w:t> </w:t>
            </w:r>
          </w:p>
        </w:tc>
      </w:tr>
      <w:tr w:rsidR="00091362" w:rsidRPr="00390832" w14:paraId="42E631EA" w14:textId="77777777" w:rsidTr="006C6CA4">
        <w:trPr>
          <w:tblCellSpacing w:w="0" w:type="dxa"/>
        </w:trPr>
        <w:tc>
          <w:tcPr>
            <w:tcW w:w="0" w:type="auto"/>
            <w:shd w:val="clear" w:color="auto" w:fill="FFFFFF"/>
            <w:hideMark/>
          </w:tcPr>
          <w:p w14:paraId="17A22806" w14:textId="20E5EB0D" w:rsidR="00091362" w:rsidRPr="00CF0F64" w:rsidRDefault="00091362" w:rsidP="00091362">
            <w:pPr>
              <w:pStyle w:val="ListParagraph"/>
              <w:numPr>
                <w:ilvl w:val="0"/>
                <w:numId w:val="39"/>
              </w:numPr>
              <w:spacing w:before="0" w:after="0"/>
              <w:rPr>
                <w:rFonts w:eastAsia="Times New Roman" w:cstheme="majorHAnsi"/>
                <w:color w:val="000000"/>
                <w:szCs w:val="22"/>
                <w:lang w:val="en-AU" w:eastAsia="en-AU"/>
              </w:rPr>
            </w:pPr>
            <w:r w:rsidRPr="004A580C">
              <w:rPr>
                <w:rStyle w:val="normaltextrun"/>
                <w:rFonts w:ascii="Calibri Light" w:hAnsi="Calibri Light" w:cs="Calibri Light"/>
                <w:color w:val="000000"/>
              </w:rPr>
              <w:lastRenderedPageBreak/>
              <w:t>Engage with professional networks and the broader community and apply to improve student outcomes.</w:t>
            </w:r>
            <w:r w:rsidRPr="004A580C">
              <w:rPr>
                <w:rStyle w:val="normaltextrun"/>
                <w:color w:val="000000"/>
              </w:rPr>
              <w:t> </w:t>
            </w:r>
          </w:p>
        </w:tc>
      </w:tr>
      <w:tr w:rsidR="00091362" w:rsidRPr="00390832" w14:paraId="2165C40E" w14:textId="77777777" w:rsidTr="006C6CA4">
        <w:trPr>
          <w:tblCellSpacing w:w="0" w:type="dxa"/>
        </w:trPr>
        <w:tc>
          <w:tcPr>
            <w:tcW w:w="0" w:type="auto"/>
            <w:shd w:val="clear" w:color="auto" w:fill="FFFFFF"/>
            <w:hideMark/>
          </w:tcPr>
          <w:p w14:paraId="1415BFA4" w14:textId="0850B630" w:rsidR="00091362" w:rsidRPr="00CF0F64" w:rsidRDefault="00091362" w:rsidP="00091362">
            <w:pPr>
              <w:pStyle w:val="ListParagraph"/>
              <w:numPr>
                <w:ilvl w:val="0"/>
                <w:numId w:val="39"/>
              </w:numPr>
              <w:spacing w:before="0" w:after="0"/>
              <w:rPr>
                <w:rFonts w:eastAsia="Times New Roman" w:cstheme="majorHAnsi"/>
                <w:color w:val="000000"/>
                <w:szCs w:val="22"/>
                <w:lang w:val="en-AU" w:eastAsia="en-AU"/>
              </w:rPr>
            </w:pPr>
            <w:r w:rsidRPr="004A580C">
              <w:rPr>
                <w:rStyle w:val="normaltextrun"/>
                <w:rFonts w:ascii="Calibri Light" w:hAnsi="Calibri Light" w:cs="Calibri Light"/>
              </w:rPr>
              <w:t>Collect supporting evidence that confirms Teaching Performance Assessment and identifies reflective practices in accordance with the Australian Professional Standards for Teachers.</w:t>
            </w:r>
          </w:p>
        </w:tc>
      </w:tr>
    </w:tbl>
    <w:p w14:paraId="40070897" w14:textId="77777777" w:rsidR="00F1602C" w:rsidRDefault="00F1602C" w:rsidP="00A72310">
      <w:pPr>
        <w:spacing w:before="60" w:after="60"/>
        <w:ind w:left="-851"/>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5DED9E55"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r w:rsidR="00CF0F64" w:rsidRPr="00390832">
        <w:rPr>
          <w:rFonts w:asciiTheme="majorHAnsi" w:eastAsiaTheme="minorHAnsi" w:hAnsiTheme="majorHAnsi" w:cstheme="majorHAnsi"/>
          <w:lang w:val="en-US"/>
        </w:rPr>
        <w:t xml:space="preserve">The information contained in this </w:t>
      </w:r>
      <w:r w:rsidR="00CF0F64">
        <w:rPr>
          <w:rFonts w:asciiTheme="majorHAnsi" w:eastAsiaTheme="minorHAnsi" w:hAnsiTheme="majorHAnsi" w:cstheme="majorHAnsi"/>
          <w:lang w:val="en-US"/>
        </w:rPr>
        <w:t>document</w:t>
      </w:r>
      <w:r w:rsidR="00CF0F64" w:rsidRPr="00390832">
        <w:rPr>
          <w:rFonts w:asciiTheme="majorHAnsi" w:eastAsiaTheme="minorHAnsi" w:hAnsiTheme="majorHAnsi" w:cstheme="majorHAnsi"/>
          <w:lang w:val="en-US"/>
        </w:rPr>
        <w:t xml:space="preserve"> should be read in conjunction with the Information Guide for the Assessment for Graduate Teaching (held by the pre-service teacher)</w:t>
      </w:r>
      <w:r w:rsidR="00CF0F64">
        <w:rPr>
          <w:rFonts w:asciiTheme="majorHAnsi" w:eastAsiaTheme="minorHAnsi" w:hAnsiTheme="majorHAnsi" w:cstheme="majorHAnsi"/>
          <w:lang w:val="en-US"/>
        </w:rPr>
        <w:t>.</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14F2D87A" w14:textId="235B8203" w:rsidR="00CF0F64" w:rsidRDefault="000852BA" w:rsidP="00CF0F64">
      <w:pPr>
        <w:ind w:left="-709"/>
        <w:rPr>
          <w:rFonts w:cstheme="majorHAnsi"/>
          <w:color w:val="000000"/>
          <w:szCs w:val="22"/>
          <w:shd w:val="clear" w:color="auto" w:fill="FFFFFF"/>
        </w:rPr>
      </w:pPr>
      <w:r w:rsidRPr="00CF0F64">
        <w:rPr>
          <w:rFonts w:ascii="Calibri Light" w:hAnsi="Calibri Light" w:cs="Calibri Light"/>
        </w:rPr>
        <w:t xml:space="preserve">This placement is </w:t>
      </w:r>
      <w:r w:rsidR="00091362">
        <w:rPr>
          <w:rFonts w:ascii="Calibri Light" w:hAnsi="Calibri Light" w:cs="Calibri Light"/>
          <w:b/>
        </w:rPr>
        <w:t>4</w:t>
      </w:r>
      <w:r w:rsidR="00CF0F64" w:rsidRPr="00CF0F64">
        <w:rPr>
          <w:rFonts w:ascii="Calibri Light" w:hAnsi="Calibri Light" w:cs="Calibri Light"/>
          <w:b/>
        </w:rPr>
        <w:t>0</w:t>
      </w:r>
      <w:r w:rsidR="00317BB8" w:rsidRPr="00CF0F64">
        <w:rPr>
          <w:rFonts w:ascii="Calibri Light" w:hAnsi="Calibri Light" w:cs="Calibri Light"/>
          <w:b/>
        </w:rPr>
        <w:t xml:space="preserve"> </w:t>
      </w:r>
      <w:r w:rsidR="00F1602C" w:rsidRPr="00CF0F64">
        <w:rPr>
          <w:rFonts w:ascii="Calibri Light" w:hAnsi="Calibri Light" w:cs="Calibri Light"/>
          <w:b/>
        </w:rPr>
        <w:t>days</w:t>
      </w:r>
      <w:r w:rsidR="00F1602C" w:rsidRPr="00CF0F64">
        <w:rPr>
          <w:rFonts w:ascii="Calibri Light" w:hAnsi="Calibri Light" w:cs="Calibri Light"/>
        </w:rPr>
        <w:t xml:space="preserve"> </w:t>
      </w:r>
      <w:r w:rsidR="00CF0F64">
        <w:rPr>
          <w:rFonts w:ascii="Calibri Light" w:hAnsi="Calibri Light" w:cs="Calibri Light"/>
        </w:rPr>
        <w:t xml:space="preserve">of </w:t>
      </w:r>
      <w:r w:rsidR="00F1602C" w:rsidRPr="00CF0F64">
        <w:rPr>
          <w:rFonts w:ascii="Calibri Light" w:hAnsi="Calibri Light" w:cs="Calibri Light"/>
        </w:rPr>
        <w:t xml:space="preserve">professional experience including </w:t>
      </w:r>
      <w:proofErr w:type="gramStart"/>
      <w:r w:rsidR="00F1602C" w:rsidRPr="00CF0F64">
        <w:rPr>
          <w:rFonts w:ascii="Calibri Light" w:hAnsi="Calibri Light" w:cs="Calibri Light"/>
        </w:rPr>
        <w:t>a</w:t>
      </w:r>
      <w:proofErr w:type="gramEnd"/>
      <w:r w:rsidR="00F1602C" w:rsidRPr="00CF0F64">
        <w:rPr>
          <w:rFonts w:ascii="Calibri Light" w:hAnsi="Calibri Light" w:cs="Calibri Light"/>
        </w:rPr>
        <w:t xml:space="preserve"> </w:t>
      </w:r>
      <w:r w:rsidR="00091362">
        <w:rPr>
          <w:rFonts w:ascii="Calibri Light" w:hAnsi="Calibri Light" w:cs="Calibri Light"/>
        </w:rPr>
        <w:t>8</w:t>
      </w:r>
      <w:r w:rsidR="00F1602C" w:rsidRPr="00CF0F64">
        <w:rPr>
          <w:rFonts w:ascii="Calibri Light" w:hAnsi="Calibri Light" w:cs="Calibri Light"/>
        </w:rPr>
        <w:t>-week block.</w:t>
      </w:r>
      <w:r w:rsidR="00CF0F64">
        <w:rPr>
          <w:rFonts w:ascii="Calibri Light" w:hAnsi="Calibri Light" w:cs="Calibri Light"/>
        </w:rPr>
        <w:t xml:space="preserve"> </w:t>
      </w:r>
      <w:r w:rsidR="00091362">
        <w:rPr>
          <w:rFonts w:cstheme="majorHAnsi"/>
          <w:color w:val="000000"/>
          <w:szCs w:val="22"/>
          <w:shd w:val="clear" w:color="auto" w:fill="FFFFFF"/>
        </w:rPr>
        <w:t>The 4</w:t>
      </w:r>
      <w:r w:rsidR="00CF0F64" w:rsidRPr="00390832">
        <w:rPr>
          <w:rFonts w:cstheme="majorHAnsi"/>
          <w:color w:val="000000"/>
          <w:szCs w:val="22"/>
          <w:shd w:val="clear" w:color="auto" w:fill="FFFFFF"/>
        </w:rPr>
        <w:t xml:space="preserve">0-day professional experience placement is informed by the </w:t>
      </w:r>
      <w:proofErr w:type="gramStart"/>
      <w:r w:rsidR="00CF0F64" w:rsidRPr="00390832">
        <w:rPr>
          <w:rFonts w:cstheme="majorHAnsi"/>
          <w:i/>
          <w:iCs/>
          <w:color w:val="000000"/>
          <w:szCs w:val="22"/>
          <w:shd w:val="clear" w:color="auto" w:fill="FFFFFF"/>
        </w:rPr>
        <w:t xml:space="preserve">AfGT </w:t>
      </w:r>
      <w:r w:rsidR="00CF0F64" w:rsidRPr="00390832">
        <w:rPr>
          <w:rFonts w:cstheme="majorHAnsi"/>
          <w:color w:val="000000"/>
          <w:szCs w:val="22"/>
          <w:shd w:val="clear" w:color="auto" w:fill="FFFFFF"/>
        </w:rPr>
        <w:t>which</w:t>
      </w:r>
      <w:proofErr w:type="gramEnd"/>
      <w:r w:rsidR="00CF0F64" w:rsidRPr="00390832">
        <w:rPr>
          <w:rFonts w:cstheme="majorHAnsi"/>
          <w:color w:val="000000"/>
          <w:szCs w:val="22"/>
          <w:shd w:val="clear" w:color="auto" w:fill="FFFFFF"/>
        </w:rPr>
        <w:t xml:space="preserve"> assesses the majority of the seven Graduate Teacher Standards</w:t>
      </w:r>
      <w:r w:rsidR="00CF0F64">
        <w:rPr>
          <w:rFonts w:cstheme="majorHAnsi"/>
          <w:color w:val="000000"/>
          <w:szCs w:val="22"/>
          <w:shd w:val="clear" w:color="auto" w:fill="FFFFFF"/>
        </w:rPr>
        <w:t xml:space="preserve"> whilst on placement.</w:t>
      </w:r>
      <w:r w:rsidR="00CF0F64" w:rsidRPr="00390832">
        <w:rPr>
          <w:rFonts w:cstheme="majorHAnsi"/>
          <w:color w:val="000000"/>
          <w:szCs w:val="22"/>
          <w:shd w:val="clear" w:color="auto" w:fill="FFFFFF"/>
        </w:rPr>
        <w:t xml:space="preserve"> Element 4 of the AfGT is completed separately from the placement ensuring that all Graduate Standards are assessed.</w:t>
      </w:r>
      <w:r w:rsidR="00CF0F64">
        <w:rPr>
          <w:rFonts w:cstheme="majorHAnsi"/>
          <w:color w:val="000000"/>
          <w:szCs w:val="22"/>
          <w:shd w:val="clear" w:color="auto" w:fill="FFFFFF"/>
        </w:rPr>
        <w:t xml:space="preserve"> </w:t>
      </w:r>
      <w:r w:rsidR="00CF0F64" w:rsidRPr="00390832">
        <w:rPr>
          <w:rFonts w:cstheme="majorHAnsi"/>
          <w:color w:val="000000"/>
          <w:szCs w:val="22"/>
          <w:shd w:val="clear" w:color="auto" w:fill="FFFFFF"/>
        </w:rPr>
        <w:t>The AfGT is a significant accreditation requirement for course completion and is assessed by the university.</w:t>
      </w:r>
    </w:p>
    <w:p w14:paraId="6820DA89" w14:textId="77777777" w:rsidR="00CF0F64" w:rsidRPr="00390832" w:rsidRDefault="00CF0F64" w:rsidP="00CF0F64">
      <w:pPr>
        <w:ind w:left="-709"/>
        <w:rPr>
          <w:rFonts w:cstheme="majorHAnsi"/>
          <w:szCs w:val="22"/>
        </w:rPr>
      </w:pPr>
    </w:p>
    <w:p w14:paraId="4210EEAA" w14:textId="77777777" w:rsidR="00CF0F64" w:rsidRPr="00FB2838" w:rsidRDefault="00CF0F64" w:rsidP="00CF0F64">
      <w:pPr>
        <w:ind w:left="-709"/>
        <w:rPr>
          <w:rFonts w:cstheme="majorHAnsi"/>
          <w:color w:val="000000"/>
          <w:szCs w:val="22"/>
          <w:shd w:val="clear" w:color="auto" w:fill="FFFFFF"/>
        </w:rPr>
      </w:pPr>
      <w:r w:rsidRPr="00FB2838">
        <w:rPr>
          <w:rFonts w:cstheme="majorHAnsi"/>
          <w:color w:val="000000"/>
          <w:szCs w:val="22"/>
          <w:shd w:val="clear" w:color="auto" w:fill="FFFFFF"/>
        </w:rPr>
        <w:t>Pre-service teachers are supervised by registered teachers at all times during school hours. It is expected that pre-service teachers work collaboratively with mentor teachers at first teaching small groups of children, team teaching, and teaching the whole class. Pre-service teachers are not expected to assume full responsibility for students: this remains the responsibility of the mentor teacher who assumes duty of care.</w:t>
      </w:r>
      <w:r>
        <w:rPr>
          <w:rFonts w:cstheme="majorHAnsi"/>
          <w:color w:val="000000"/>
          <w:szCs w:val="22"/>
          <w:shd w:val="clear" w:color="auto" w:fill="FFFFFF"/>
        </w:rPr>
        <w:t xml:space="preserve"> </w:t>
      </w:r>
      <w:r w:rsidRPr="00FB2838">
        <w:rPr>
          <w:rFonts w:cstheme="majorHAnsi"/>
          <w:color w:val="000000"/>
          <w:szCs w:val="22"/>
          <w:shd w:val="clear" w:color="auto" w:fill="FFFFFF"/>
        </w:rPr>
        <w:t>Pre-service teachers are expected to shadow their mentor teacher in all activities carried out during the school day including yard and bus duties, parent-teacher meetings, staff meetings and professional development.  Participation in extracurricular activities and school camps needs to be negotiated between the pre-service teacher and mentor teacher, and CDU staff if required due to legal and other considerations.</w:t>
      </w:r>
    </w:p>
    <w:p w14:paraId="5FD0A3BC" w14:textId="71482728" w:rsidR="00F1602C" w:rsidRPr="00CF0F64" w:rsidRDefault="00F1602C" w:rsidP="00CF0F64">
      <w:pPr>
        <w:pStyle w:val="body"/>
        <w:spacing w:before="0" w:after="0" w:line="240" w:lineRule="auto"/>
        <w:ind w:left="-709" w:right="-465"/>
        <w:rPr>
          <w:rFonts w:ascii="Calibri Light" w:hAnsi="Calibri Light" w:cs="Calibri Light"/>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20AFC201" w14:textId="77777777" w:rsidR="00CF0F64" w:rsidRDefault="00CF0F64" w:rsidP="00F1602C">
      <w:pPr>
        <w:spacing w:before="60" w:after="60"/>
        <w:ind w:left="-709"/>
        <w:rPr>
          <w:rStyle w:val="Heading2Char"/>
        </w:rPr>
      </w:pPr>
      <w:r>
        <w:rPr>
          <w:rStyle w:val="Heading2Char"/>
        </w:rPr>
        <w:br w:type="page"/>
      </w:r>
    </w:p>
    <w:p w14:paraId="61C78192" w14:textId="2709091F" w:rsidR="00F1602C" w:rsidRDefault="00F1602C" w:rsidP="00F1602C">
      <w:pPr>
        <w:spacing w:before="60" w:after="60"/>
        <w:ind w:left="-709"/>
        <w:rPr>
          <w:rStyle w:val="Heading2Char"/>
        </w:rPr>
      </w:pPr>
      <w:r>
        <w:rPr>
          <w:rStyle w:val="Heading2Char"/>
        </w:rPr>
        <w:lastRenderedPageBreak/>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59C9479E" w14:textId="77777777" w:rsidR="00CF0F64" w:rsidRDefault="00CF0F64" w:rsidP="003E00A0">
      <w:pPr>
        <w:tabs>
          <w:tab w:val="left" w:pos="0"/>
        </w:tabs>
        <w:spacing w:after="160" w:line="252" w:lineRule="auto"/>
        <w:ind w:left="-709"/>
        <w:contextualSpacing/>
        <w:rPr>
          <w:rFonts w:cstheme="majorHAnsi"/>
          <w:b/>
        </w:rPr>
      </w:pPr>
    </w:p>
    <w:p w14:paraId="57E73ABC" w14:textId="56175FF6"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2D23E347" w14:textId="3E2AC4B7" w:rsidR="00CF0F64" w:rsidRPr="00CF0F64" w:rsidRDefault="00CF0F64" w:rsidP="00CF0F64">
      <w:pPr>
        <w:spacing w:after="160" w:line="252" w:lineRule="auto"/>
        <w:ind w:left="-709"/>
        <w:contextualSpacing/>
        <w:rPr>
          <w:rFonts w:cstheme="majorHAnsi"/>
        </w:rPr>
      </w:pPr>
      <w:r w:rsidRPr="00CF0F64">
        <w:rPr>
          <w:rFonts w:cstheme="majorHAnsi"/>
        </w:rPr>
        <w:t>The following is a guide to</w:t>
      </w:r>
      <w:r w:rsidR="00091362">
        <w:rPr>
          <w:rFonts w:cstheme="majorHAnsi"/>
        </w:rPr>
        <w:t xml:space="preserve"> the minimal requirements of a 4</w:t>
      </w:r>
      <w:r w:rsidRPr="00CF0F64">
        <w:rPr>
          <w:rFonts w:cstheme="majorHAnsi"/>
        </w:rPr>
        <w:t xml:space="preserve">0-day placement, which can be adjusted based on the context and </w:t>
      </w:r>
      <w:proofErr w:type="gramStart"/>
      <w:r w:rsidRPr="00CF0F64">
        <w:rPr>
          <w:rFonts w:cstheme="majorHAnsi"/>
        </w:rPr>
        <w:t>circumstances which</w:t>
      </w:r>
      <w:proofErr w:type="gramEnd"/>
      <w:r w:rsidRPr="00CF0F64">
        <w:rPr>
          <w:rFonts w:cstheme="majorHAnsi"/>
        </w:rPr>
        <w:t xml:space="preserve"> may arise during the placement.</w:t>
      </w:r>
    </w:p>
    <w:p w14:paraId="54D2E951" w14:textId="77777777" w:rsidR="00CF0F64" w:rsidRPr="00CF0F64" w:rsidRDefault="00CF0F64" w:rsidP="00CF0F64">
      <w:pPr>
        <w:spacing w:after="160" w:line="252" w:lineRule="auto"/>
        <w:ind w:left="-709"/>
        <w:contextualSpacing/>
        <w:rPr>
          <w:rFonts w:cstheme="majorHAnsi"/>
        </w:rPr>
      </w:pPr>
    </w:p>
    <w:p w14:paraId="3A4DB00D" w14:textId="77777777" w:rsidR="00CF0F64" w:rsidRPr="00CF0F64" w:rsidRDefault="00CF0F64" w:rsidP="00CF0F64">
      <w:pPr>
        <w:spacing w:after="160" w:line="252" w:lineRule="auto"/>
        <w:ind w:left="-709"/>
        <w:contextualSpacing/>
        <w:rPr>
          <w:rFonts w:cstheme="majorHAnsi"/>
        </w:rPr>
      </w:pPr>
      <w:r w:rsidRPr="00CF0F64">
        <w:rPr>
          <w:rFonts w:cstheme="majorHAnsi"/>
        </w:rPr>
        <w:t>From the beginning of Week 1, pre-service teachers should be comprehensively planning for their teaching (Element 1) and by the beginning of Week 3 teaching continuously and implementing the teaching (Element 2) and assessment (Element 3) components of the AfGT.</w:t>
      </w:r>
    </w:p>
    <w:p w14:paraId="5167C494" w14:textId="77777777" w:rsidR="00CF0F64" w:rsidRPr="00CF0F64" w:rsidRDefault="00CF0F64" w:rsidP="00CF0F64">
      <w:pPr>
        <w:spacing w:after="160" w:line="252" w:lineRule="auto"/>
        <w:ind w:left="-709"/>
        <w:contextualSpacing/>
        <w:rPr>
          <w:rFonts w:cstheme="majorHAnsi"/>
        </w:rPr>
      </w:pPr>
    </w:p>
    <w:p w14:paraId="14ED4426" w14:textId="77777777" w:rsidR="00CF0F64" w:rsidRPr="00CF0F64" w:rsidRDefault="00CF0F64" w:rsidP="00CF0F64">
      <w:pPr>
        <w:spacing w:after="160" w:line="252" w:lineRule="auto"/>
        <w:ind w:left="-709"/>
        <w:contextualSpacing/>
        <w:rPr>
          <w:rFonts w:cstheme="majorHAnsi"/>
        </w:rPr>
      </w:pPr>
      <w:r w:rsidRPr="00CF0F64">
        <w:rPr>
          <w:rFonts w:cstheme="majorHAnsi"/>
        </w:rPr>
        <w:t>In summary, the three Elements of the AFGT need to be sequenced and submitted to CDU as follows:</w:t>
      </w:r>
    </w:p>
    <w:p w14:paraId="3E41985C" w14:textId="0406CEAE" w:rsidR="006E657E" w:rsidRDefault="006E657E" w:rsidP="003E00A0">
      <w:pPr>
        <w:spacing w:after="160" w:line="252" w:lineRule="auto"/>
        <w:ind w:left="-709"/>
        <w:contextualSpacing/>
        <w:rPr>
          <w:rFonts w:cstheme="majorHAnsi"/>
        </w:rPr>
      </w:pPr>
    </w:p>
    <w:p w14:paraId="7AA58304" w14:textId="77777777" w:rsidR="00CF0F64" w:rsidRPr="00390832" w:rsidRDefault="00CF0F64" w:rsidP="00CF0F64">
      <w:pPr>
        <w:ind w:left="-709"/>
        <w:rPr>
          <w:rFonts w:cstheme="majorHAnsi"/>
          <w:b/>
          <w:bCs/>
        </w:rPr>
      </w:pPr>
      <w:r w:rsidRPr="00390832">
        <w:rPr>
          <w:rFonts w:cstheme="majorHAnsi"/>
          <w:b/>
          <w:bCs/>
        </w:rPr>
        <w:t>Element 1 needs to be Submitted to CDU by the end of Week 2</w:t>
      </w:r>
    </w:p>
    <w:p w14:paraId="3AA02C63" w14:textId="77777777" w:rsidR="00CF0F64" w:rsidRPr="00390832" w:rsidRDefault="00CF0F64" w:rsidP="00CF0F64">
      <w:pPr>
        <w:ind w:left="-709"/>
        <w:rPr>
          <w:rFonts w:cstheme="majorHAnsi"/>
        </w:rPr>
      </w:pPr>
    </w:p>
    <w:p w14:paraId="2DD3963A" w14:textId="77777777" w:rsidR="00CF0F64" w:rsidRPr="00390832" w:rsidRDefault="00CF0F64" w:rsidP="00CF0F64">
      <w:pPr>
        <w:ind w:left="-709"/>
        <w:rPr>
          <w:rFonts w:cstheme="majorHAnsi"/>
        </w:rPr>
      </w:pPr>
      <w:r w:rsidRPr="00390832">
        <w:rPr>
          <w:rFonts w:cstheme="majorHAnsi"/>
        </w:rPr>
        <w:t xml:space="preserve">In </w:t>
      </w:r>
      <w:r w:rsidRPr="00390832">
        <w:rPr>
          <w:rFonts w:cstheme="majorHAnsi"/>
          <w:b/>
          <w:bCs/>
        </w:rPr>
        <w:t>Element 1</w:t>
      </w:r>
      <w:r w:rsidRPr="00390832">
        <w:rPr>
          <w:rFonts w:cstheme="majorHAnsi"/>
        </w:rPr>
        <w:t xml:space="preserve">, </w:t>
      </w:r>
      <w:r w:rsidRPr="00390832">
        <w:rPr>
          <w:rFonts w:cstheme="majorHAnsi"/>
          <w:color w:val="262626"/>
          <w:shd w:val="clear" w:color="auto" w:fill="FFFFFF"/>
        </w:rPr>
        <w:t xml:space="preserve">the focus is on the pre-service teacher’s capacity to understand </w:t>
      </w:r>
      <w:r w:rsidRPr="00390832">
        <w:rPr>
          <w:rFonts w:cstheme="majorHAnsi"/>
          <w:b/>
          <w:bCs/>
          <w:color w:val="262626"/>
          <w:shd w:val="clear" w:color="auto" w:fill="FFFFFF"/>
        </w:rPr>
        <w:t xml:space="preserve">the context of the placement and </w:t>
      </w:r>
      <w:r w:rsidRPr="00390832">
        <w:rPr>
          <w:rStyle w:val="Emphasis"/>
          <w:rFonts w:cstheme="majorHAnsi"/>
          <w:b/>
          <w:bCs/>
          <w:color w:val="262626"/>
          <w:shd w:val="clear" w:color="auto" w:fill="FFFFFF"/>
        </w:rPr>
        <w:t>planning </w:t>
      </w:r>
      <w:r w:rsidRPr="00390832">
        <w:rPr>
          <w:rFonts w:cstheme="majorHAnsi"/>
          <w:b/>
          <w:bCs/>
          <w:color w:val="262626"/>
          <w:shd w:val="clear" w:color="auto" w:fill="FFFFFF"/>
        </w:rPr>
        <w:t xml:space="preserve">for student learning </w:t>
      </w:r>
      <w:r w:rsidRPr="00390832">
        <w:rPr>
          <w:rFonts w:cstheme="majorHAnsi"/>
          <w:color w:val="262626"/>
          <w:shd w:val="clear" w:color="auto" w:fill="FFFFFF"/>
        </w:rPr>
        <w:t>in relation to the specific goal/s of the sequence of lessons, and the ways in which impact on student learning will be evidenced.  Pre-service teachers need to satisfactorily complete Element 1 to demonstrate that the Australian Professional Standards for Teachers are met at Graduate level. The APST Standards being assessed in Element 1 are: 1.1, 1.2, 1.3, 1.5, 2.1, 2.2, 2.3, 2.5, 2.6, 3.1, 3.2, 3.3, 3.4, 4.1, 4.4, 4.5, 5.1, 5.2, 5.3, 5.4 and 6.3. </w:t>
      </w:r>
    </w:p>
    <w:p w14:paraId="2936F4C1" w14:textId="77777777" w:rsidR="00CF0F64" w:rsidRPr="00390832" w:rsidRDefault="00CF0F64" w:rsidP="00CF0F64">
      <w:pPr>
        <w:ind w:left="-709"/>
        <w:rPr>
          <w:rFonts w:cstheme="majorHAnsi"/>
        </w:rPr>
      </w:pPr>
    </w:p>
    <w:p w14:paraId="3C58671B" w14:textId="77777777" w:rsidR="00CF0F64" w:rsidRPr="00390832" w:rsidRDefault="00CF0F64" w:rsidP="00CF0F64">
      <w:pPr>
        <w:ind w:left="-709"/>
        <w:rPr>
          <w:rFonts w:cstheme="majorHAnsi"/>
          <w:b/>
          <w:bCs/>
        </w:rPr>
      </w:pPr>
      <w:r w:rsidRPr="00390832">
        <w:rPr>
          <w:rFonts w:cstheme="majorHAnsi"/>
          <w:b/>
          <w:bCs/>
        </w:rPr>
        <w:t>Element 2 needs to be Submitted to CDU by the end of Week 4</w:t>
      </w:r>
    </w:p>
    <w:p w14:paraId="26784C3B"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lang w:val="en-AU" w:eastAsia="en-AU"/>
        </w:rPr>
      </w:pPr>
      <w:r w:rsidRPr="00390832">
        <w:rPr>
          <w:rFonts w:eastAsia="Times New Roman" w:cstheme="majorHAnsi"/>
          <w:color w:val="262626"/>
          <w:lang w:val="en-AU" w:eastAsia="en-AU"/>
        </w:rPr>
        <w:t xml:space="preserve">In </w:t>
      </w:r>
      <w:r w:rsidRPr="00390832">
        <w:rPr>
          <w:rFonts w:eastAsia="Times New Roman" w:cstheme="majorHAnsi"/>
          <w:b/>
          <w:bCs/>
          <w:color w:val="262626"/>
          <w:lang w:val="en-AU" w:eastAsia="en-AU"/>
        </w:rPr>
        <w:t>Element 2</w:t>
      </w:r>
      <w:r w:rsidRPr="00390832">
        <w:rPr>
          <w:rFonts w:eastAsia="Times New Roman" w:cstheme="majorHAnsi"/>
          <w:color w:val="262626"/>
          <w:lang w:val="en-AU" w:eastAsia="en-AU"/>
        </w:rPr>
        <w:t xml:space="preserve">, the focus is on the capacity of the pre-service teacher to understand the </w:t>
      </w:r>
      <w:r w:rsidRPr="00390832">
        <w:rPr>
          <w:rFonts w:eastAsia="Times New Roman" w:cstheme="majorHAnsi"/>
          <w:b/>
          <w:bCs/>
          <w:color w:val="262626"/>
          <w:lang w:val="en-AU" w:eastAsia="en-AU"/>
        </w:rPr>
        <w:t>implications of pedagogical practice on student learning</w:t>
      </w:r>
      <w:r w:rsidRPr="00390832">
        <w:rPr>
          <w:rFonts w:eastAsia="Times New Roman" w:cstheme="majorHAnsi"/>
          <w:color w:val="262626"/>
          <w:lang w:val="en-AU" w:eastAsia="en-AU"/>
        </w:rPr>
        <w:t xml:space="preserve"> and to demonstrate their impact on student learning.  The pre-service teacher collects evidence (via video; mentor, student, and peer (if available) feedback) on two Key Pedagogical Segments (KPSs). The first KPS should be early in the sequence of lessons; the second should be towards the end of the sequence of lessons. The pre-service teacher is required to analyse their teaching, to demonstrate how the complexity and interrelation of learning and teaching were considered and reflected upon in the light of learning goals, and role of professional judgements that have been made in teaching of the two nominated KPSs.  Pre-service teachers need to satisfactorily complete Element 2 to demonstrate that the Australian Professional Standards for Teachers are met at Graduate level. The APST Standards being assessed in Element 2 are: 1.1, 1.2, 1.5, 3.1, 3.3, 3.4, 3.5, 3.6, 4.2, 4.3, 4.4, 5.4 and 6.3.</w:t>
      </w:r>
    </w:p>
    <w:p w14:paraId="7011299B" w14:textId="77777777" w:rsidR="00CF0F64" w:rsidRPr="00390832" w:rsidRDefault="00CF0F64" w:rsidP="00CF0F64">
      <w:pPr>
        <w:ind w:left="-709"/>
        <w:rPr>
          <w:rFonts w:cstheme="majorHAnsi"/>
          <w:b/>
          <w:bCs/>
          <w:szCs w:val="22"/>
        </w:rPr>
      </w:pPr>
      <w:r w:rsidRPr="00390832">
        <w:rPr>
          <w:rFonts w:cstheme="majorHAnsi"/>
          <w:b/>
          <w:bCs/>
          <w:szCs w:val="22"/>
        </w:rPr>
        <w:t>Element 3 needs to be Submitted to CDU by the end of Week 6</w:t>
      </w:r>
    </w:p>
    <w:p w14:paraId="5D7605A9"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szCs w:val="22"/>
          <w:lang w:val="en-AU" w:eastAsia="en-AU"/>
        </w:rPr>
      </w:pPr>
      <w:r w:rsidRPr="00390832">
        <w:rPr>
          <w:rFonts w:eastAsia="Times New Roman" w:cstheme="majorHAnsi"/>
          <w:color w:val="262626"/>
          <w:szCs w:val="22"/>
          <w:lang w:val="en-AU" w:eastAsia="en-AU"/>
        </w:rPr>
        <w:t xml:space="preserve">In </w:t>
      </w:r>
      <w:r w:rsidRPr="00390832">
        <w:rPr>
          <w:rFonts w:eastAsia="Times New Roman" w:cstheme="majorHAnsi"/>
          <w:b/>
          <w:bCs/>
          <w:color w:val="262626"/>
          <w:szCs w:val="22"/>
          <w:lang w:val="en-AU" w:eastAsia="en-AU"/>
        </w:rPr>
        <w:t>Element 3</w:t>
      </w:r>
      <w:r w:rsidRPr="00390832">
        <w:rPr>
          <w:rFonts w:eastAsia="Times New Roman" w:cstheme="majorHAnsi"/>
          <w:color w:val="262626"/>
          <w:szCs w:val="22"/>
          <w:lang w:val="en-AU" w:eastAsia="en-AU"/>
        </w:rPr>
        <w:t xml:space="preserve">, the focus is on the pre-service teacher’s capacity to implement a targeted </w:t>
      </w:r>
      <w:r w:rsidRPr="00390832">
        <w:rPr>
          <w:rFonts w:eastAsia="Times New Roman" w:cstheme="majorHAnsi"/>
          <w:b/>
          <w:bCs/>
          <w:i/>
          <w:iCs/>
          <w:color w:val="262626"/>
          <w:szCs w:val="22"/>
          <w:lang w:val="en-AU" w:eastAsia="en-AU"/>
        </w:rPr>
        <w:t>summative assessment task</w:t>
      </w:r>
      <w:r w:rsidRPr="00390832">
        <w:rPr>
          <w:rFonts w:eastAsia="Times New Roman" w:cstheme="majorHAnsi"/>
          <w:color w:val="262626"/>
          <w:szCs w:val="22"/>
          <w:lang w:val="en-AU" w:eastAsia="en-AU"/>
        </w:rPr>
        <w:t xml:space="preserve"> as part of the cyclic process of collecting and analysing evidence of what students know, understand and can do. Pre-service teachers will determine the extent to which all students in the class have been able to achieve the overarching learning goals for the sequence of lessons. PSTs will need to satisfactorily complete Element 3 to demonstrate that the </w:t>
      </w:r>
      <w:r w:rsidRPr="00390832">
        <w:rPr>
          <w:rFonts w:eastAsia="Times New Roman" w:cstheme="majorHAnsi"/>
          <w:i/>
          <w:iCs/>
          <w:color w:val="262626"/>
          <w:szCs w:val="22"/>
          <w:lang w:val="en-AU" w:eastAsia="en-AU"/>
        </w:rPr>
        <w:t xml:space="preserve">Australian Professional Standards for Teachers </w:t>
      </w:r>
      <w:r w:rsidRPr="00390832">
        <w:rPr>
          <w:rFonts w:eastAsia="Times New Roman" w:cstheme="majorHAnsi"/>
          <w:color w:val="262626"/>
          <w:szCs w:val="22"/>
          <w:lang w:val="en-AU" w:eastAsia="en-AU"/>
        </w:rPr>
        <w:t>are met at Graduate level. The APST Standards being assessed in Element 3 are: 1.2, 1.5, 3.6, 5.1, 5.2, 5.3, and 5.4. </w:t>
      </w:r>
    </w:p>
    <w:p w14:paraId="13C40308" w14:textId="77777777" w:rsidR="00CF0F64" w:rsidRPr="00390832" w:rsidRDefault="00CF0F64" w:rsidP="00CF0F64">
      <w:pPr>
        <w:shd w:val="clear" w:color="auto" w:fill="FFFFFF"/>
        <w:spacing w:before="100" w:beforeAutospacing="1" w:after="100" w:afterAutospacing="1"/>
        <w:ind w:left="-709"/>
        <w:rPr>
          <w:rFonts w:eastAsia="Times New Roman" w:cstheme="majorHAnsi"/>
          <w:color w:val="262626"/>
          <w:szCs w:val="22"/>
          <w:lang w:val="en-AU" w:eastAsia="en-AU"/>
        </w:rPr>
      </w:pPr>
      <w:r w:rsidRPr="00390832">
        <w:rPr>
          <w:rFonts w:eastAsia="Times New Roman" w:cstheme="majorHAnsi"/>
          <w:color w:val="262626"/>
          <w:szCs w:val="22"/>
          <w:lang w:val="en-AU" w:eastAsia="en-AU"/>
        </w:rPr>
        <w:t>Ideally, pre-service teachers should submit Element 3 on Learnline (CD) prior to the end of placement and issuing of the Final Report.</w:t>
      </w: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6FFB23F7" w14:textId="77777777" w:rsidR="00317BB8" w:rsidRDefault="00317BB8" w:rsidP="003E00A0">
      <w:pPr>
        <w:spacing w:after="160" w:line="252" w:lineRule="auto"/>
        <w:ind w:left="-709"/>
        <w:contextualSpacing/>
        <w:rPr>
          <w:rFonts w:cstheme="majorHAnsi"/>
        </w:rPr>
      </w:pPr>
    </w:p>
    <w:p w14:paraId="2FD8262D" w14:textId="77777777" w:rsidR="006E657E" w:rsidRPr="003E00A0" w:rsidRDefault="006E657E" w:rsidP="00981A74">
      <w:pPr>
        <w:spacing w:before="60" w:after="60"/>
        <w:ind w:left="-709"/>
        <w:rPr>
          <w:rStyle w:val="Heading2Char"/>
          <w:sz w:val="22"/>
        </w:rPr>
      </w:pP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74B648CD" w14:textId="77777777" w:rsidR="007F4880" w:rsidRDefault="007F4880" w:rsidP="00B415C1">
            <w:pPr>
              <w:spacing w:after="60"/>
              <w:rPr>
                <w:rFonts w:eastAsia="Times New Roman" w:cstheme="majorHAnsi"/>
                <w:color w:val="auto"/>
                <w:sz w:val="18"/>
                <w:szCs w:val="18"/>
                <w:lang w:val="en-GB" w:eastAsia="en-GB"/>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p w14:paraId="484C8D50" w14:textId="77777777" w:rsidR="0012203E" w:rsidRDefault="0012203E" w:rsidP="00B415C1">
            <w:pPr>
              <w:spacing w:after="60"/>
              <w:rPr>
                <w:rFonts w:eastAsia="Times New Roman" w:cstheme="majorHAnsi"/>
                <w:color w:val="auto"/>
                <w:sz w:val="18"/>
                <w:szCs w:val="18"/>
                <w:lang w:val="en-GB" w:eastAsia="en-GB"/>
              </w:rPr>
            </w:pPr>
          </w:p>
          <w:p w14:paraId="69FE43D7" w14:textId="5A92AEE6" w:rsidR="0012203E" w:rsidRPr="007F4880" w:rsidRDefault="0012203E" w:rsidP="00B415C1">
            <w:pPr>
              <w:spacing w:after="60"/>
              <w:rPr>
                <w:rFonts w:cstheme="majorHAnsi"/>
                <w:b/>
                <w:sz w:val="18"/>
                <w:szCs w:val="18"/>
              </w:rPr>
            </w:pP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lastRenderedPageBreak/>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95F0" w14:textId="77777777" w:rsidR="00FC28A8" w:rsidRDefault="00FC28A8" w:rsidP="00452E05">
      <w:r>
        <w:separator/>
      </w:r>
    </w:p>
  </w:endnote>
  <w:endnote w:type="continuationSeparator" w:id="0">
    <w:p w14:paraId="636B7633" w14:textId="77777777" w:rsidR="00FC28A8" w:rsidRDefault="00FC28A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3F1E6C5E"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3223B3">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3223B3">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7CFA8D76"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3223B3">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3223B3">
      <w:rPr>
        <w:rFonts w:cstheme="majorHAnsi"/>
        <w:b/>
        <w:bCs/>
        <w:noProof/>
        <w:color w:val="000000" w:themeColor="text1"/>
        <w:szCs w:val="22"/>
        <w:lang w:val="en-GB"/>
      </w:rPr>
      <w:t>13</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5885" w14:textId="77777777" w:rsidR="00FC28A8" w:rsidRDefault="00FC28A8" w:rsidP="00452E05">
      <w:r>
        <w:separator/>
      </w:r>
    </w:p>
  </w:footnote>
  <w:footnote w:type="continuationSeparator" w:id="0">
    <w:p w14:paraId="418E79A6" w14:textId="77777777" w:rsidR="00FC28A8" w:rsidRDefault="00FC28A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FC28A8">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68F5C089" w:rsidR="003E00A0" w:rsidRPr="00237977" w:rsidRDefault="003E00A0" w:rsidP="00CF0F64">
    <w:pPr>
      <w:pStyle w:val="Heading1"/>
      <w:spacing w:after="0"/>
      <w:ind w:right="-795"/>
      <w:jc w:val="center"/>
      <w:rPr>
        <w:sz w:val="24"/>
        <w:szCs w:val="28"/>
      </w:rPr>
    </w:pPr>
    <w:r w:rsidRPr="00237977">
      <w:rPr>
        <w:sz w:val="24"/>
        <w:szCs w:val="28"/>
      </w:rPr>
      <w:t>R</w:t>
    </w:r>
    <w:r>
      <w:rPr>
        <w:sz w:val="24"/>
        <w:szCs w:val="28"/>
      </w:rPr>
      <w:t xml:space="preserve">equirements and Guidelines: </w:t>
    </w:r>
    <w:r w:rsidR="00CF0F64">
      <w:rPr>
        <w:sz w:val="24"/>
        <w:szCs w:val="28"/>
      </w:rPr>
      <w:t>EP</w:t>
    </w:r>
    <w:r w:rsidR="00091362">
      <w:rPr>
        <w:sz w:val="24"/>
        <w:szCs w:val="28"/>
      </w:rPr>
      <w:t>R301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B0B18"/>
    <w:multiLevelType w:val="hybridMultilevel"/>
    <w:tmpl w:val="46049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0"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2"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B860EC"/>
    <w:multiLevelType w:val="hybridMultilevel"/>
    <w:tmpl w:val="EF24C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7"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1"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3"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5"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4"/>
  </w:num>
  <w:num w:numId="5">
    <w:abstractNumId w:val="14"/>
  </w:num>
  <w:num w:numId="6">
    <w:abstractNumId w:val="25"/>
  </w:num>
  <w:num w:numId="7">
    <w:abstractNumId w:val="34"/>
  </w:num>
  <w:num w:numId="8">
    <w:abstractNumId w:val="20"/>
  </w:num>
  <w:num w:numId="9">
    <w:abstractNumId w:val="26"/>
  </w:num>
  <w:num w:numId="10">
    <w:abstractNumId w:val="12"/>
  </w:num>
  <w:num w:numId="11">
    <w:abstractNumId w:val="10"/>
  </w:num>
  <w:num w:numId="12">
    <w:abstractNumId w:val="3"/>
  </w:num>
  <w:num w:numId="13">
    <w:abstractNumId w:val="7"/>
  </w:num>
  <w:num w:numId="14">
    <w:abstractNumId w:val="27"/>
  </w:num>
  <w:num w:numId="15">
    <w:abstractNumId w:val="29"/>
  </w:num>
  <w:num w:numId="16">
    <w:abstractNumId w:val="33"/>
  </w:num>
  <w:num w:numId="17">
    <w:abstractNumId w:val="8"/>
  </w:num>
  <w:num w:numId="18">
    <w:abstractNumId w:val="25"/>
  </w:num>
  <w:num w:numId="19">
    <w:abstractNumId w:val="25"/>
  </w:num>
  <w:num w:numId="20">
    <w:abstractNumId w:val="25"/>
  </w:num>
  <w:num w:numId="21">
    <w:abstractNumId w:val="23"/>
  </w:num>
  <w:num w:numId="22">
    <w:abstractNumId w:val="16"/>
  </w:num>
  <w:num w:numId="23">
    <w:abstractNumId w:val="15"/>
  </w:num>
  <w:num w:numId="24">
    <w:abstractNumId w:val="30"/>
  </w:num>
  <w:num w:numId="25">
    <w:abstractNumId w:val="18"/>
  </w:num>
  <w:num w:numId="26">
    <w:abstractNumId w:val="35"/>
  </w:num>
  <w:num w:numId="27">
    <w:abstractNumId w:val="13"/>
  </w:num>
  <w:num w:numId="28">
    <w:abstractNumId w:val="31"/>
  </w:num>
  <w:num w:numId="29">
    <w:abstractNumId w:val="21"/>
  </w:num>
  <w:num w:numId="30">
    <w:abstractNumId w:val="6"/>
  </w:num>
  <w:num w:numId="31">
    <w:abstractNumId w:val="5"/>
  </w:num>
  <w:num w:numId="32">
    <w:abstractNumId w:val="28"/>
  </w:num>
  <w:num w:numId="33">
    <w:abstractNumId w:val="9"/>
  </w:num>
  <w:num w:numId="34">
    <w:abstractNumId w:val="17"/>
  </w:num>
  <w:num w:numId="35">
    <w:abstractNumId w:val="32"/>
  </w:num>
  <w:num w:numId="36">
    <w:abstractNumId w:val="11"/>
  </w:num>
  <w:num w:numId="37">
    <w:abstractNumId w:val="24"/>
  </w:num>
  <w:num w:numId="38">
    <w:abstractNumId w:val="2"/>
  </w:num>
  <w:num w:numId="3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AXf7Ga2PslKdArPme9wswiiYJ4AQsI04oMPT7j+N160qExe3UjhuvOaoR8AOjhHGhr6eQetXW34dLl23yUB7g==" w:salt="qIwljDDI3FeHI1payUjQ7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1362"/>
    <w:rsid w:val="000930A7"/>
    <w:rsid w:val="0009532B"/>
    <w:rsid w:val="000A0EE2"/>
    <w:rsid w:val="000B6BA2"/>
    <w:rsid w:val="000C1213"/>
    <w:rsid w:val="000D6105"/>
    <w:rsid w:val="000E1CB3"/>
    <w:rsid w:val="000E6E8F"/>
    <w:rsid w:val="00103DE1"/>
    <w:rsid w:val="001102C6"/>
    <w:rsid w:val="0012203E"/>
    <w:rsid w:val="00126ED8"/>
    <w:rsid w:val="00127477"/>
    <w:rsid w:val="001440EE"/>
    <w:rsid w:val="00162C73"/>
    <w:rsid w:val="001727D2"/>
    <w:rsid w:val="0019204B"/>
    <w:rsid w:val="001A3D38"/>
    <w:rsid w:val="001B5BCC"/>
    <w:rsid w:val="001C11FA"/>
    <w:rsid w:val="001C225A"/>
    <w:rsid w:val="001C4923"/>
    <w:rsid w:val="001E0D58"/>
    <w:rsid w:val="001E1067"/>
    <w:rsid w:val="001E1F33"/>
    <w:rsid w:val="001E67FB"/>
    <w:rsid w:val="00207B83"/>
    <w:rsid w:val="0021239F"/>
    <w:rsid w:val="00217A16"/>
    <w:rsid w:val="00217C3E"/>
    <w:rsid w:val="002435DE"/>
    <w:rsid w:val="002919B0"/>
    <w:rsid w:val="002925FF"/>
    <w:rsid w:val="00296482"/>
    <w:rsid w:val="0029790B"/>
    <w:rsid w:val="00297A84"/>
    <w:rsid w:val="002E2648"/>
    <w:rsid w:val="002E5767"/>
    <w:rsid w:val="002E7A80"/>
    <w:rsid w:val="00303C9B"/>
    <w:rsid w:val="0030563E"/>
    <w:rsid w:val="00317BB8"/>
    <w:rsid w:val="003223B3"/>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961C2"/>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20E0"/>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48C8"/>
    <w:rsid w:val="0088576F"/>
    <w:rsid w:val="008A19FF"/>
    <w:rsid w:val="008C1CDE"/>
    <w:rsid w:val="008C382A"/>
    <w:rsid w:val="008C45E4"/>
    <w:rsid w:val="008D1B22"/>
    <w:rsid w:val="008E2D20"/>
    <w:rsid w:val="008F34D6"/>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16D9"/>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008B8"/>
    <w:rsid w:val="00B3349C"/>
    <w:rsid w:val="00B378BF"/>
    <w:rsid w:val="00B415C1"/>
    <w:rsid w:val="00B46D48"/>
    <w:rsid w:val="00B607DD"/>
    <w:rsid w:val="00B658DB"/>
    <w:rsid w:val="00B75AA6"/>
    <w:rsid w:val="00B9245E"/>
    <w:rsid w:val="00BC1A4D"/>
    <w:rsid w:val="00BC614D"/>
    <w:rsid w:val="00BC6A59"/>
    <w:rsid w:val="00BE0325"/>
    <w:rsid w:val="00BE2912"/>
    <w:rsid w:val="00BF19E4"/>
    <w:rsid w:val="00C13363"/>
    <w:rsid w:val="00C3177B"/>
    <w:rsid w:val="00C56417"/>
    <w:rsid w:val="00C6177C"/>
    <w:rsid w:val="00C62BC1"/>
    <w:rsid w:val="00C709E8"/>
    <w:rsid w:val="00C75CBE"/>
    <w:rsid w:val="00C76CF5"/>
    <w:rsid w:val="00C77C04"/>
    <w:rsid w:val="00C85AC5"/>
    <w:rsid w:val="00CC748A"/>
    <w:rsid w:val="00CE511A"/>
    <w:rsid w:val="00CF0106"/>
    <w:rsid w:val="00CF0F64"/>
    <w:rsid w:val="00D1105C"/>
    <w:rsid w:val="00D12FE2"/>
    <w:rsid w:val="00D20B11"/>
    <w:rsid w:val="00D26722"/>
    <w:rsid w:val="00D2717D"/>
    <w:rsid w:val="00D27DE6"/>
    <w:rsid w:val="00D4058A"/>
    <w:rsid w:val="00D46295"/>
    <w:rsid w:val="00D52CFB"/>
    <w:rsid w:val="00D64D00"/>
    <w:rsid w:val="00D75778"/>
    <w:rsid w:val="00D81FF5"/>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C28A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BED250BD-9BF2-404A-A663-A6E996E6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16</TotalTime>
  <Pages>1</Pages>
  <Words>5811</Words>
  <Characters>33128</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11</cp:revision>
  <cp:lastPrinted>2023-03-06T22:18:00Z</cp:lastPrinted>
  <dcterms:created xsi:type="dcterms:W3CDTF">2023-03-14T10:34:00Z</dcterms:created>
  <dcterms:modified xsi:type="dcterms:W3CDTF">2023-05-23T04:21:00Z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