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BC1E5A" w:rsidP="00007598" w:rsidRDefault="00BC1E5A" w14:paraId="589A9228" w14:textId="77777777">
      <w:pPr>
        <w:pStyle w:val="Title"/>
      </w:pPr>
    </w:p>
    <w:p w:rsidR="00BC1E5A" w:rsidP="00007598" w:rsidRDefault="00BC1E5A" w14:paraId="5A18E8F5" w14:textId="77777777">
      <w:pPr>
        <w:pStyle w:val="Title"/>
      </w:pPr>
    </w:p>
    <w:p w:rsidR="00BC1E5A" w:rsidP="00007598" w:rsidRDefault="00BC1E5A" w14:paraId="5998B984" w14:textId="77777777">
      <w:pPr>
        <w:pStyle w:val="Title"/>
      </w:pPr>
    </w:p>
    <w:p w:rsidRPr="00007598" w:rsidR="007E4752" w:rsidP="006F3FBC" w:rsidRDefault="006F3FBC" w14:paraId="1B861BF0" w14:textId="0F171868">
      <w:pPr>
        <w:pStyle w:val="Title"/>
      </w:pPr>
      <w:r>
        <w:t xml:space="preserve">Use of Generative Artificial Intelligence in Research Guidelines </w:t>
      </w:r>
    </w:p>
    <w:p w:rsidRPr="00710665" w:rsidR="006F3FBC" w:rsidP="00710665" w:rsidRDefault="006F3FBC" w14:paraId="35296A71" w14:textId="77777777"/>
    <w:p w:rsidRPr="006F3FBC" w:rsidR="006F3FBC" w:rsidP="006F3FBC" w:rsidRDefault="006F3FBC" w14:paraId="2CAC9508" w14:textId="77777777">
      <w:pPr>
        <w:spacing w:after="120"/>
        <w:rPr>
          <w:rFonts w:ascii="Calibri" w:hAnsi="Calibri" w:cs="Calibri"/>
          <w:b/>
          <w:bCs/>
          <w:sz w:val="28"/>
          <w:szCs w:val="28"/>
        </w:rPr>
      </w:pPr>
      <w:r w:rsidRPr="006F3FBC">
        <w:rPr>
          <w:rFonts w:ascii="Calibri" w:hAnsi="Calibri" w:cs="Calibri"/>
          <w:b/>
          <w:bCs/>
          <w:sz w:val="28"/>
          <w:szCs w:val="28"/>
        </w:rPr>
        <w:t>Section 1 - Introduction</w:t>
      </w:r>
    </w:p>
    <w:p w:rsidR="006F3FBC" w:rsidP="006F3FBC" w:rsidRDefault="006F3FBC" w14:paraId="73DE1158" w14:textId="77777777">
      <w:pPr>
        <w:spacing w:after="120"/>
      </w:pPr>
      <w:r>
        <w:t xml:space="preserve">Charles Darwin University </w:t>
      </w:r>
      <w:proofErr w:type="spellStart"/>
      <w:r>
        <w:t>recognises</w:t>
      </w:r>
      <w:proofErr w:type="spellEnd"/>
      <w:r>
        <w:t xml:space="preserve"> the emergence of Generative AI (gen AI) as a practical tool for improving efficiency and increasing productivity in research. While there are considerable benefits associated with the adoption of gen AI, it is important to remember that AI is </w:t>
      </w:r>
      <w:r w:rsidRPr="6A79B7AC">
        <w:rPr>
          <w:i/>
          <w:iCs/>
        </w:rPr>
        <w:t>assistive technology</w:t>
      </w:r>
      <w:r>
        <w:t xml:space="preserve"> and does not replace human critical thinking, reasoning and decision-making. In addition, at every stage of the research lifecycle, researchers (including HDR students) must ensure their use of gen AI tools complies with the </w:t>
      </w:r>
      <w:hyperlink r:id="rId8">
        <w:r w:rsidRPr="6A79B7AC">
          <w:rPr>
            <w:rStyle w:val="Hyperlink"/>
            <w:i/>
            <w:iCs/>
          </w:rPr>
          <w:t>Australian Code for the Responsible Conduct of Research, 2018</w:t>
        </w:r>
      </w:hyperlink>
      <w:r w:rsidRPr="6A79B7AC">
        <w:rPr>
          <w:i/>
          <w:iCs/>
        </w:rPr>
        <w:t xml:space="preserve">, </w:t>
      </w:r>
      <w:r>
        <w:t xml:space="preserve">related University governance documents, relevant legislation and regulation, and funding body and publisher requirements. </w:t>
      </w:r>
    </w:p>
    <w:p w:rsidR="006F3FBC" w:rsidP="006F3FBC" w:rsidRDefault="006F3FBC" w14:paraId="294C5B13" w14:textId="77777777">
      <w:pPr>
        <w:spacing w:after="120"/>
        <w:rPr>
          <w:b/>
          <w:bCs/>
        </w:rPr>
      </w:pPr>
    </w:p>
    <w:p w:rsidRPr="006F3FBC" w:rsidR="006F3FBC" w:rsidP="006F3FBC" w:rsidRDefault="006F3FBC" w14:paraId="714EB659" w14:textId="77777777">
      <w:pPr>
        <w:spacing w:after="120"/>
        <w:rPr>
          <w:rFonts w:asciiTheme="minorHAnsi" w:hAnsiTheme="minorHAnsi" w:cstheme="minorHAnsi"/>
          <w:b/>
          <w:bCs/>
          <w:sz w:val="28"/>
          <w:szCs w:val="28"/>
        </w:rPr>
      </w:pPr>
      <w:r w:rsidRPr="006F3FBC">
        <w:rPr>
          <w:rFonts w:asciiTheme="minorHAnsi" w:hAnsiTheme="minorHAnsi" w:cstheme="minorHAnsi"/>
          <w:b/>
          <w:bCs/>
          <w:sz w:val="28"/>
          <w:szCs w:val="28"/>
        </w:rPr>
        <w:t>Section 2 - Purpose</w:t>
      </w:r>
    </w:p>
    <w:p w:rsidR="006F3FBC" w:rsidP="006F3FBC" w:rsidRDefault="006F3FBC" w14:paraId="73B67B5A" w14:textId="77777777">
      <w:pPr>
        <w:spacing w:after="120"/>
      </w:pPr>
      <w:r>
        <w:t xml:space="preserve">Researchers are accountable for their own work, including work produced with the assistance of gen AI tools, and must take responsibility for the integrity of the content created by AI. The purpose of these Guidelines is to support decision-making in the appropriate and responsible use of gen AI in research. It is designed to ensure researchers </w:t>
      </w:r>
      <w:proofErr w:type="gramStart"/>
      <w:r>
        <w:t>are well</w:t>
      </w:r>
      <w:proofErr w:type="gramEnd"/>
      <w:r>
        <w:t xml:space="preserve"> well-informed of key ethical and risk considerations in the use of gen AI across all stages of the research lifecycle. </w:t>
      </w:r>
    </w:p>
    <w:p w:rsidR="006F3FBC" w:rsidP="006F3FBC" w:rsidRDefault="006F3FBC" w14:paraId="3AA711D3" w14:textId="77777777">
      <w:pPr>
        <w:spacing w:after="120"/>
      </w:pPr>
      <w:r>
        <w:t xml:space="preserve">These guidelines apply to all CDU researchers, including </w:t>
      </w:r>
      <w:r w:rsidRPr="00F744DB">
        <w:t xml:space="preserve">staff, students and visitors </w:t>
      </w:r>
      <w:r>
        <w:t>conducting</w:t>
      </w:r>
      <w:r w:rsidRPr="00F744DB">
        <w:t xml:space="preserve"> research </w:t>
      </w:r>
      <w:r>
        <w:t>under the auspices of the University.</w:t>
      </w:r>
    </w:p>
    <w:p w:rsidR="006F3FBC" w:rsidP="006F3FBC" w:rsidRDefault="006F3FBC" w14:paraId="3663954F" w14:textId="77777777">
      <w:pPr>
        <w:spacing w:after="120"/>
        <w:rPr>
          <w:b/>
          <w:bCs/>
        </w:rPr>
      </w:pPr>
    </w:p>
    <w:p w:rsidRPr="006F3FBC" w:rsidR="006F3FBC" w:rsidP="006F3FBC" w:rsidRDefault="006F3FBC" w14:paraId="2563C062" w14:textId="77777777">
      <w:pPr>
        <w:spacing w:after="120"/>
        <w:rPr>
          <w:rFonts w:asciiTheme="minorHAnsi" w:hAnsiTheme="minorHAnsi" w:cstheme="minorHAnsi"/>
          <w:b/>
          <w:bCs/>
          <w:sz w:val="28"/>
          <w:szCs w:val="28"/>
        </w:rPr>
      </w:pPr>
      <w:r w:rsidRPr="006F3FBC">
        <w:rPr>
          <w:rFonts w:asciiTheme="minorHAnsi" w:hAnsiTheme="minorHAnsi" w:cstheme="minorHAnsi"/>
          <w:b/>
          <w:bCs/>
          <w:sz w:val="28"/>
          <w:szCs w:val="28"/>
        </w:rPr>
        <w:t xml:space="preserve">Section 3 - Planning: Considerations for the Establishment of Safeguards </w:t>
      </w:r>
    </w:p>
    <w:p w:rsidR="006F3FBC" w:rsidP="006F3FBC" w:rsidRDefault="006F3FBC" w14:paraId="7ED82A6B" w14:textId="77777777">
      <w:pPr>
        <w:spacing w:after="120"/>
      </w:pPr>
      <w:r>
        <w:t xml:space="preserve">It is important to exercise caution when using gen AI due to some inherent risks that may compromise your research, impact research integrity principles, and even hinder the development of skills needed to be a competent researcher. </w:t>
      </w:r>
    </w:p>
    <w:p w:rsidR="006F3FBC" w:rsidP="006F3FBC" w:rsidRDefault="006F3FBC" w14:paraId="45E03B43" w14:textId="77777777">
      <w:pPr>
        <w:spacing w:after="120"/>
        <w:rPr>
          <w:b/>
          <w:bCs/>
        </w:rPr>
      </w:pPr>
      <w:r w:rsidRPr="002837FE">
        <w:rPr>
          <w:b/>
          <w:bCs/>
        </w:rPr>
        <w:t>Privacy and Security</w:t>
      </w:r>
    </w:p>
    <w:p w:rsidR="006F3FBC" w:rsidP="006F3FBC" w:rsidRDefault="006F3FBC" w14:paraId="464E64DD" w14:textId="77777777">
      <w:pPr>
        <w:spacing w:after="120"/>
      </w:pPr>
      <w:r>
        <w:t xml:space="preserve">Commercial AI tools may retain and reuse uploaded content. Accordingly, before using any tool, check the </w:t>
      </w:r>
      <w:proofErr w:type="spellStart"/>
      <w:r>
        <w:t>licence</w:t>
      </w:r>
      <w:proofErr w:type="spellEnd"/>
      <w:r>
        <w:t xml:space="preserve"> or terms and conditions, including assurances relating to data re-use for training models and provisions around ownership of IP to mitigate risk of losing control of your own IP.</w:t>
      </w:r>
    </w:p>
    <w:p w:rsidR="006F3FBC" w:rsidP="006F3FBC" w:rsidRDefault="006F3FBC" w14:paraId="48803EDD" w14:textId="77777777">
      <w:pPr>
        <w:spacing w:after="120"/>
      </w:pPr>
      <w:r w:rsidR="006F3FBC">
        <w:rPr/>
        <w:t xml:space="preserve">Establish the </w:t>
      </w:r>
      <w:hyperlink r:id="Rd64c3ab376f2493f">
        <w:r w:rsidRPr="5CBB2313" w:rsidR="006F3FBC">
          <w:rPr>
            <w:rStyle w:val="Hyperlink"/>
          </w:rPr>
          <w:t>classification of your data</w:t>
        </w:r>
      </w:hyperlink>
      <w:r w:rsidR="006F3FBC">
        <w:rPr/>
        <w:t xml:space="preserve"> and protect unpublished or sensitive work. Only input content that would also be appropriate to share with external </w:t>
      </w:r>
      <w:r w:rsidR="006F3FBC">
        <w:rPr/>
        <w:t>organisations</w:t>
      </w:r>
      <w:r w:rsidR="006F3FBC">
        <w:rPr/>
        <w:t>. It is never appropriate to submit the following material into gen AI platforms:</w:t>
      </w:r>
    </w:p>
    <w:p w:rsidR="5CBB2313" w:rsidP="5CBB2313" w:rsidRDefault="5CBB2313" w14:paraId="506FC54C" w14:textId="2129CBDE">
      <w:pPr>
        <w:spacing w:after="120"/>
      </w:pPr>
    </w:p>
    <w:p w:rsidR="5CBB2313" w:rsidP="5CBB2313" w:rsidRDefault="5CBB2313" w14:paraId="5CFFB84E" w14:textId="2DA12B19">
      <w:pPr>
        <w:spacing w:after="120"/>
      </w:pPr>
    </w:p>
    <w:p w:rsidR="5CBB2313" w:rsidP="5CBB2313" w:rsidRDefault="5CBB2313" w14:paraId="33BD80DC" w14:textId="53DDC778">
      <w:pPr>
        <w:spacing w:after="120"/>
      </w:pPr>
    </w:p>
    <w:p w:rsidR="006F3FBC" w:rsidP="006F3FBC" w:rsidRDefault="006F3FBC" w14:paraId="7AF8702F" w14:textId="77777777">
      <w:pPr>
        <w:pStyle w:val="ListParagraph"/>
        <w:numPr>
          <w:ilvl w:val="0"/>
          <w:numId w:val="13"/>
        </w:numPr>
        <w:spacing w:before="0" w:after="120" w:line="259" w:lineRule="auto"/>
      </w:pPr>
      <w:r>
        <w:t>Commercial-in-confidence materials or materials protected by copyright or intellectual property</w:t>
      </w:r>
    </w:p>
    <w:p w:rsidR="00AF3225" w:rsidP="5CBB2313" w:rsidRDefault="00AF3225" w14:paraId="7F528DA0" w14:textId="7099C1A8">
      <w:pPr>
        <w:pStyle w:val="ListParagraph"/>
        <w:numPr>
          <w:ilvl w:val="0"/>
          <w:numId w:val="13"/>
        </w:numPr>
        <w:spacing w:before="0" w:after="120" w:line="259" w:lineRule="auto"/>
        <w:rPr/>
      </w:pPr>
      <w:r w:rsidR="006F3FBC">
        <w:rPr/>
        <w:t>Data subject to privacy legislation (e.g., private/personal information)</w:t>
      </w:r>
    </w:p>
    <w:p w:rsidR="006F3FBC" w:rsidP="006F3FBC" w:rsidRDefault="006F3FBC" w14:paraId="72C44455" w14:textId="79CB1787">
      <w:pPr>
        <w:pStyle w:val="ListParagraph"/>
        <w:numPr>
          <w:ilvl w:val="0"/>
          <w:numId w:val="13"/>
        </w:numPr>
        <w:spacing w:before="0" w:after="120" w:line="259" w:lineRule="auto"/>
      </w:pPr>
      <w:r>
        <w:t>Human research data (e.g., participant data collected through surveys)</w:t>
      </w:r>
    </w:p>
    <w:p w:rsidR="006F3FBC" w:rsidP="006F3FBC" w:rsidRDefault="006F3FBC" w14:paraId="6E7E6C82" w14:textId="77777777">
      <w:pPr>
        <w:pStyle w:val="ListParagraph"/>
        <w:numPr>
          <w:ilvl w:val="0"/>
          <w:numId w:val="13"/>
        </w:numPr>
        <w:spacing w:before="0" w:after="120" w:line="259" w:lineRule="auto"/>
      </w:pPr>
      <w:r>
        <w:t>Confidential or sensitive data (e.g., religious, sacred or cultural knowledge; locations of vulnerable species)</w:t>
      </w:r>
    </w:p>
    <w:p w:rsidR="006F3FBC" w:rsidP="006F3FBC" w:rsidRDefault="006F3FBC" w14:paraId="0315AC58" w14:textId="77777777">
      <w:pPr>
        <w:pStyle w:val="ListParagraph"/>
        <w:numPr>
          <w:ilvl w:val="0"/>
          <w:numId w:val="13"/>
        </w:numPr>
        <w:spacing w:before="0" w:after="120" w:line="259" w:lineRule="auto"/>
      </w:pPr>
      <w:r>
        <w:t>Information subject to regulatory controls (e.g., national security information, police records, materials subject to export controls)</w:t>
      </w:r>
    </w:p>
    <w:p w:rsidR="006F3FBC" w:rsidP="006F3FBC" w:rsidRDefault="006F3FBC" w14:paraId="71815BD8" w14:textId="77777777">
      <w:pPr>
        <w:spacing w:after="120"/>
        <w:rPr>
          <w:b/>
          <w:bCs/>
        </w:rPr>
      </w:pPr>
    </w:p>
    <w:p w:rsidR="006F3FBC" w:rsidP="006F3FBC" w:rsidRDefault="006F3FBC" w14:paraId="0AAD704D" w14:textId="77777777">
      <w:pPr>
        <w:spacing w:after="120"/>
        <w:rPr>
          <w:b/>
          <w:bCs/>
        </w:rPr>
      </w:pPr>
      <w:r>
        <w:rPr>
          <w:b/>
          <w:bCs/>
        </w:rPr>
        <w:t>Accuracy and Bias</w:t>
      </w:r>
    </w:p>
    <w:p w:rsidR="006F3FBC" w:rsidP="006F3FBC" w:rsidRDefault="006F3FBC" w14:paraId="3AB9E3B5" w14:textId="77777777">
      <w:pPr>
        <w:spacing w:after="120"/>
      </w:pPr>
      <w:r>
        <w:t xml:space="preserve">Gen AI </w:t>
      </w:r>
      <w:proofErr w:type="gramStart"/>
      <w:r>
        <w:t>is able to</w:t>
      </w:r>
      <w:proofErr w:type="gramEnd"/>
      <w:r>
        <w:t xml:space="preserve"> produce authoritative-sounding and persuasive material that may be inaccurate, incomplete or biased. Examples include non-existent outputs (hallucinations), synthetic data, images and hypotheses.</w:t>
      </w:r>
    </w:p>
    <w:p w:rsidR="006F3FBC" w:rsidP="006F3FBC" w:rsidRDefault="006F3FBC" w14:paraId="08617744" w14:textId="77777777">
      <w:pPr>
        <w:spacing w:after="120"/>
      </w:pPr>
      <w:r>
        <w:t>Researchers must critically review and fact-check AI-generated material through a process of verification and validation. This may include the development of iterative prompting, careful checking of authorship attribution to outputs, cross-checking of citations.</w:t>
      </w:r>
    </w:p>
    <w:p w:rsidR="006F3FBC" w:rsidP="006F3FBC" w:rsidRDefault="006F3FBC" w14:paraId="1E291D62" w14:textId="77777777">
      <w:pPr>
        <w:spacing w:after="120"/>
      </w:pPr>
      <w:r>
        <w:t>Researchers should take advantage of available training provisions in the use of gen AI to ensure they have at their disposal a toolkit to enable verification and validation purposes.</w:t>
      </w:r>
    </w:p>
    <w:p w:rsidR="006F3FBC" w:rsidP="006F3FBC" w:rsidRDefault="006F3FBC" w14:paraId="2A58FC7D" w14:textId="77777777">
      <w:pPr>
        <w:spacing w:after="120"/>
        <w:rPr>
          <w:b/>
          <w:bCs/>
        </w:rPr>
      </w:pPr>
      <w:r>
        <w:rPr>
          <w:b/>
          <w:bCs/>
        </w:rPr>
        <w:t>Over Reliance and Personal Development</w:t>
      </w:r>
    </w:p>
    <w:p w:rsidR="006F3FBC" w:rsidP="006F3FBC" w:rsidRDefault="006F3FBC" w14:paraId="32DB109E" w14:textId="77777777">
      <w:pPr>
        <w:spacing w:after="120"/>
      </w:pPr>
      <w:r>
        <w:t>Gen AI tools are assistive technology and do not have the capability to undertake independent, original research. Over reliance on gen AI in the research process may lead to technology dependence and impede the development of critical thinking skills that are needed to be a competent researcher.</w:t>
      </w:r>
    </w:p>
    <w:p w:rsidRPr="001D793D" w:rsidR="006F3FBC" w:rsidP="006F3FBC" w:rsidRDefault="006F3FBC" w14:paraId="191942A3" w14:textId="77777777">
      <w:pPr>
        <w:spacing w:after="120"/>
      </w:pPr>
      <w:r>
        <w:t>Before using gen AI, researchers must reflect critically on the value add of the technology, remaining mindful that while gen AI may enhance productivity, it never replaces human decision-making.</w:t>
      </w:r>
    </w:p>
    <w:p w:rsidRPr="00783F00" w:rsidR="006F3FBC" w:rsidP="006F3FBC" w:rsidRDefault="006F3FBC" w14:paraId="791E1465" w14:textId="77777777">
      <w:pPr>
        <w:spacing w:after="120"/>
        <w:rPr>
          <w:b/>
          <w:bCs/>
        </w:rPr>
      </w:pPr>
    </w:p>
    <w:p w:rsidRPr="006F3FBC" w:rsidR="006F3FBC" w:rsidP="006F3FBC" w:rsidRDefault="006F3FBC" w14:paraId="120154D7" w14:textId="77777777">
      <w:pPr>
        <w:spacing w:after="120"/>
        <w:rPr>
          <w:rFonts w:asciiTheme="minorHAnsi" w:hAnsiTheme="minorHAnsi" w:cstheme="minorHAnsi"/>
          <w:b/>
          <w:bCs/>
          <w:sz w:val="28"/>
          <w:szCs w:val="28"/>
        </w:rPr>
      </w:pPr>
      <w:r w:rsidRPr="006F3FBC">
        <w:rPr>
          <w:rFonts w:asciiTheme="minorHAnsi" w:hAnsiTheme="minorHAnsi" w:cstheme="minorHAnsi"/>
          <w:b/>
          <w:bCs/>
          <w:sz w:val="28"/>
          <w:szCs w:val="28"/>
        </w:rPr>
        <w:t>Section 4 - Data: Collection, Analysis, Generation and Management</w:t>
      </w:r>
    </w:p>
    <w:p w:rsidR="006F3FBC" w:rsidP="006F3FBC" w:rsidRDefault="006F3FBC" w14:paraId="5820702E" w14:textId="77777777">
      <w:pPr>
        <w:spacing w:after="120"/>
      </w:pPr>
      <w:r>
        <w:t xml:space="preserve">Gen AI may assist with the analysis, interpretation and </w:t>
      </w:r>
      <w:proofErr w:type="spellStart"/>
      <w:r>
        <w:t>summarisation</w:t>
      </w:r>
      <w:proofErr w:type="spellEnd"/>
      <w:r>
        <w:t xml:space="preserve"> of large volumes of non-sensitive data. However, this does not revoke the need for human-</w:t>
      </w:r>
      <w:proofErr w:type="spellStart"/>
      <w:r>
        <w:t>centred</w:t>
      </w:r>
      <w:proofErr w:type="spellEnd"/>
      <w:r>
        <w:t xml:space="preserve"> judgement, with a researcher’s ability to produce insightful, robust work issuing from their own contextual understanding of the research being undertaken and application of critical thinking. </w:t>
      </w:r>
    </w:p>
    <w:p w:rsidR="006F3FBC" w:rsidP="006F3FBC" w:rsidRDefault="006F3FBC" w14:paraId="6F7C77C3" w14:textId="77777777">
      <w:pPr>
        <w:spacing w:after="120"/>
      </w:pPr>
      <w:r>
        <w:t xml:space="preserve">To assist with tracking and enable </w:t>
      </w:r>
      <w:proofErr w:type="gramStart"/>
      <w:r>
        <w:t>fact-checking</w:t>
      </w:r>
      <w:proofErr w:type="gramEnd"/>
      <w:r>
        <w:t xml:space="preserve"> of data that has been </w:t>
      </w:r>
      <w:proofErr w:type="spellStart"/>
      <w:r>
        <w:t>synthesised</w:t>
      </w:r>
      <w:proofErr w:type="spellEnd"/>
      <w:r>
        <w:t xml:space="preserve"> and </w:t>
      </w:r>
      <w:proofErr w:type="spellStart"/>
      <w:r>
        <w:t>summarised</w:t>
      </w:r>
      <w:proofErr w:type="spellEnd"/>
      <w:r>
        <w:t xml:space="preserve"> by gen AI, researchers should keep a record of prompts given to gen AI tools when undertaking their own analysis.</w:t>
      </w:r>
    </w:p>
    <w:p w:rsidR="006F3FBC" w:rsidP="006F3FBC" w:rsidRDefault="006F3FBC" w14:paraId="150B78FE" w14:textId="77777777">
      <w:pPr>
        <w:spacing w:after="120"/>
      </w:pPr>
      <w:r>
        <w:t>Gen AI must never be used to alter or manipulate original research data.</w:t>
      </w:r>
    </w:p>
    <w:p w:rsidRPr="003C526F" w:rsidR="006F3FBC" w:rsidP="006F3FBC" w:rsidRDefault="006F3FBC" w14:paraId="742D5334" w14:textId="77777777">
      <w:pPr>
        <w:spacing w:after="120"/>
      </w:pPr>
      <w:proofErr w:type="gramStart"/>
      <w:r>
        <w:t>With regard to</w:t>
      </w:r>
      <w:proofErr w:type="gramEnd"/>
      <w:r>
        <w:t xml:space="preserve"> data generated by researchers, there are circumstances where inputting to gen AI platforms is never appropriate. Refer to </w:t>
      </w:r>
      <w:r w:rsidRPr="6A79B7AC">
        <w:rPr>
          <w:b/>
          <w:bCs/>
        </w:rPr>
        <w:t>Privacy and Security</w:t>
      </w:r>
      <w:r>
        <w:t xml:space="preserve"> above. </w:t>
      </w:r>
    </w:p>
    <w:p w:rsidRPr="003E1787" w:rsidR="006F3FBC" w:rsidP="006F3FBC" w:rsidRDefault="006F3FBC" w14:paraId="09DDF52B" w14:noSpellErr="1" w14:textId="6FEE412C">
      <w:pPr>
        <w:spacing w:after="120"/>
        <w:rPr>
          <w:b w:val="1"/>
          <w:bCs w:val="1"/>
        </w:rPr>
      </w:pPr>
    </w:p>
    <w:p w:rsidR="33F30569" w:rsidP="33F30569" w:rsidRDefault="33F30569" w14:paraId="0F5679DD" w14:textId="4EAAAD4A">
      <w:pPr>
        <w:spacing w:after="120"/>
        <w:rPr>
          <w:rFonts w:ascii="Calibri" w:hAnsi="Calibri" w:cs="Calibri"/>
          <w:b w:val="1"/>
          <w:bCs w:val="1"/>
          <w:sz w:val="28"/>
          <w:szCs w:val="28"/>
        </w:rPr>
      </w:pPr>
    </w:p>
    <w:p w:rsidR="33F30569" w:rsidP="33F30569" w:rsidRDefault="33F30569" w14:paraId="02E0E360" w14:textId="00281EC3">
      <w:pPr>
        <w:spacing w:after="120"/>
        <w:rPr>
          <w:rFonts w:ascii="Calibri" w:hAnsi="Calibri" w:cs="Calibri"/>
          <w:b w:val="1"/>
          <w:bCs w:val="1"/>
          <w:sz w:val="28"/>
          <w:szCs w:val="28"/>
        </w:rPr>
      </w:pPr>
    </w:p>
    <w:p w:rsidR="33F30569" w:rsidP="33F30569" w:rsidRDefault="33F30569" w14:paraId="52A022EF" w14:textId="3F2814B5">
      <w:pPr>
        <w:spacing w:after="120"/>
        <w:rPr>
          <w:rFonts w:ascii="Calibri" w:hAnsi="Calibri" w:cs="Calibri"/>
          <w:b w:val="1"/>
          <w:bCs w:val="1"/>
          <w:sz w:val="28"/>
          <w:szCs w:val="28"/>
        </w:rPr>
      </w:pPr>
    </w:p>
    <w:p w:rsidRPr="006F3FBC" w:rsidR="006F3FBC" w:rsidP="006F3FBC" w:rsidRDefault="006F3FBC" w14:paraId="23132F17" w14:textId="77777777">
      <w:pPr>
        <w:spacing w:after="120"/>
        <w:rPr>
          <w:rFonts w:ascii="Calibri" w:hAnsi="Calibri" w:cs="Calibri"/>
          <w:b/>
          <w:bCs/>
          <w:sz w:val="28"/>
          <w:szCs w:val="28"/>
        </w:rPr>
      </w:pPr>
      <w:r w:rsidRPr="006F3FBC">
        <w:rPr>
          <w:rFonts w:ascii="Calibri" w:hAnsi="Calibri" w:cs="Calibri"/>
          <w:b/>
          <w:bCs/>
          <w:sz w:val="28"/>
          <w:szCs w:val="28"/>
        </w:rPr>
        <w:t>Section 5 - Writing: Research Outputs, Grant Applications and Ethics Applications</w:t>
      </w:r>
    </w:p>
    <w:p w:rsidR="006F3FBC" w:rsidP="006F3FBC" w:rsidRDefault="006F3FBC" w14:paraId="32024F3C" w14:textId="162CA22A">
      <w:pPr>
        <w:spacing w:after="120"/>
        <w:rPr>
          <w:highlight w:val="yellow"/>
        </w:rPr>
      </w:pPr>
      <w:r w:rsidR="006F3FBC">
        <w:rPr/>
        <w:t xml:space="preserve">Gen AI must not be used to produce </w:t>
      </w:r>
      <w:r w:rsidR="006F3FBC">
        <w:rPr/>
        <w:t>intellectual  content</w:t>
      </w:r>
      <w:r w:rsidR="006F3FBC">
        <w:rPr/>
        <w:t xml:space="preserve">; rather, its usage in the writing process should be restricted </w:t>
      </w:r>
      <w:r w:rsidR="006F3FBC">
        <w:rPr/>
        <w:t>to:</w:t>
      </w:r>
      <w:r w:rsidR="006F3FBC">
        <w:rPr/>
        <w:t xml:space="preserve"> 1) generating ideas for crafting new text (e.g., through literature discovery, by finding </w:t>
      </w:r>
      <w:r w:rsidR="2D3D25FF">
        <w:rPr/>
        <w:t xml:space="preserve"> </w:t>
      </w:r>
      <w:r w:rsidR="006F3FBC">
        <w:rPr/>
        <w:t xml:space="preserve">and </w:t>
      </w:r>
      <w:r w:rsidR="006F3FBC">
        <w:rPr/>
        <w:t>synthesising</w:t>
      </w:r>
      <w:r w:rsidR="006F3FBC">
        <w:rPr/>
        <w:t xml:space="preserve"> information on a given topic, helping identify a research gap), and 2) enhancing the readability of an output through the editorial process. This includes correcting grammatical, spelling and typographical errors, ensuring clarity of expression and formatting. </w:t>
      </w:r>
      <w:proofErr w:type="spellStart"/>
      <w:proofErr w:type="spellEnd"/>
    </w:p>
    <w:p w:rsidR="006F3FBC" w:rsidP="006F3FBC" w:rsidRDefault="006F3FBC" w14:paraId="1DA68E62" w14:textId="77777777">
      <w:pPr>
        <w:spacing w:after="120"/>
      </w:pPr>
      <w:r>
        <w:t>Similarly, it is inappropriate to use gen AI in the writing of the key components of ethics applications, as these require the application of critical thinking and decision-making in formulating principles for the conduct of the proposed research.</w:t>
      </w:r>
    </w:p>
    <w:p w:rsidR="006F3FBC" w:rsidP="006F3FBC" w:rsidRDefault="006F3FBC" w14:paraId="19B11A6C" w14:textId="77777777">
      <w:pPr>
        <w:spacing w:after="120"/>
      </w:pPr>
      <w:r>
        <w:t xml:space="preserve">Subject to Section 19 of the </w:t>
      </w:r>
      <w:hyperlink r:id="rId10">
        <w:r w:rsidRPr="5980F32F">
          <w:rPr>
            <w:rStyle w:val="Hyperlink"/>
            <w:i/>
            <w:iCs/>
          </w:rPr>
          <w:t>Authorship and Dissemination of Research Procedure</w:t>
        </w:r>
      </w:hyperlink>
      <w:r>
        <w:t>, authorship cannot be ascribed to gen AI tools as they cannot assume responsibility for content</w:t>
      </w:r>
    </w:p>
    <w:p w:rsidR="006F3FBC" w:rsidP="006F3FBC" w:rsidRDefault="006F3FBC" w14:paraId="3A4F6C63" w14:textId="77777777">
      <w:pPr>
        <w:spacing w:after="120"/>
      </w:pPr>
      <w:r>
        <w:t xml:space="preserve">Subject to Section 35 of the  </w:t>
      </w:r>
      <w:hyperlink r:id="rId11">
        <w:r w:rsidRPr="5980F32F">
          <w:rPr>
            <w:rStyle w:val="Hyperlink"/>
            <w:i/>
            <w:iCs/>
          </w:rPr>
          <w:t>Generative Artificial Intelligence Policy</w:t>
        </w:r>
      </w:hyperlink>
      <w:r>
        <w:t xml:space="preserve"> authors are ultimately responsible and accountable for the contents of their work.</w:t>
      </w:r>
    </w:p>
    <w:p w:rsidR="006F3FBC" w:rsidP="006F3FBC" w:rsidRDefault="006F3FBC" w14:paraId="13FDF2ED" w14:textId="77777777">
      <w:pPr>
        <w:spacing w:after="120"/>
      </w:pPr>
      <w:r>
        <w:t xml:space="preserve">A well-crafted grant application improves the likelihood of success. However, caution must be exercised in the use of gen AI during the grant preparation process, </w:t>
      </w:r>
      <w:proofErr w:type="spellStart"/>
      <w:r>
        <w:t>recognising</w:t>
      </w:r>
      <w:proofErr w:type="spellEnd"/>
      <w:r>
        <w:t xml:space="preserve"> that researchers are accountable for information provided in their applications, with severe consequences for the inclusion of false or misleading information. </w:t>
      </w:r>
    </w:p>
    <w:p w:rsidR="006F3FBC" w:rsidP="006F3FBC" w:rsidRDefault="006F3FBC" w14:paraId="105D233A" w14:textId="77777777">
      <w:pPr>
        <w:spacing w:after="120"/>
        <w:rPr>
          <w:b/>
          <w:bCs/>
        </w:rPr>
      </w:pPr>
    </w:p>
    <w:p w:rsidRPr="006F3FBC" w:rsidR="006F3FBC" w:rsidP="006F3FBC" w:rsidRDefault="006F3FBC" w14:paraId="601D133A" w14:textId="77777777">
      <w:pPr>
        <w:spacing w:after="120"/>
        <w:rPr>
          <w:rFonts w:asciiTheme="minorHAnsi" w:hAnsiTheme="minorHAnsi" w:cstheme="minorHAnsi"/>
          <w:b/>
          <w:bCs/>
          <w:sz w:val="28"/>
          <w:szCs w:val="28"/>
        </w:rPr>
      </w:pPr>
      <w:r w:rsidRPr="006F3FBC">
        <w:rPr>
          <w:rFonts w:asciiTheme="minorHAnsi" w:hAnsiTheme="minorHAnsi" w:cstheme="minorHAnsi"/>
          <w:b/>
          <w:bCs/>
          <w:sz w:val="28"/>
          <w:szCs w:val="28"/>
        </w:rPr>
        <w:t>Section 6 - Transparency and Documentation</w:t>
      </w:r>
    </w:p>
    <w:p w:rsidR="006F3FBC" w:rsidP="006F3FBC" w:rsidRDefault="006F3FBC" w14:paraId="567789E3" w14:textId="77777777">
      <w:pPr>
        <w:spacing w:after="120"/>
      </w:pPr>
      <w:r>
        <w:t xml:space="preserve">Researchers should maintain records of their use of gen AI for purposes of </w:t>
      </w:r>
      <w:proofErr w:type="spellStart"/>
      <w:r>
        <w:t>rigour</w:t>
      </w:r>
      <w:proofErr w:type="spellEnd"/>
      <w:r>
        <w:t xml:space="preserve"> (e.g. to be able to validate material by cross-checking prompts selected to arrive at the material generated by AI) and integrity.</w:t>
      </w:r>
    </w:p>
    <w:p w:rsidR="006F3FBC" w:rsidP="006F3FBC" w:rsidRDefault="006F3FBC" w14:paraId="42F19FEF" w14:textId="77777777">
      <w:pPr>
        <w:spacing w:after="120"/>
      </w:pPr>
      <w:r>
        <w:t>Researchers must be transparent in their use of gen AI tools. This includes documenting what tools have been used and when, how they have been applied, and their influence on the research and dissemination process.</w:t>
      </w:r>
    </w:p>
    <w:p w:rsidR="006F3FBC" w:rsidP="006F3FBC" w:rsidRDefault="006F3FBC" w14:paraId="4A915ED4" w14:textId="77777777">
      <w:pPr>
        <w:spacing w:after="120"/>
      </w:pPr>
      <w:r>
        <w:t xml:space="preserve">Researchers must check with </w:t>
      </w:r>
      <w:proofErr w:type="gramStart"/>
      <w:r>
        <w:t>funders’</w:t>
      </w:r>
      <w:proofErr w:type="gramEnd"/>
      <w:r>
        <w:t xml:space="preserve"> and publishers’ policies and guidelines relating to the use and attribution of AI.</w:t>
      </w:r>
    </w:p>
    <w:p w:rsidRPr="00A8709D" w:rsidR="006F3FBC" w:rsidP="006F3FBC" w:rsidRDefault="006F3FBC" w14:paraId="45EFBE09" w14:textId="77777777">
      <w:pPr>
        <w:spacing w:after="120"/>
      </w:pPr>
    </w:p>
    <w:p w:rsidRPr="006F3FBC" w:rsidR="006F3FBC" w:rsidP="006F3FBC" w:rsidRDefault="006F3FBC" w14:paraId="195A4300" w14:textId="77777777">
      <w:pPr>
        <w:spacing w:after="120"/>
        <w:rPr>
          <w:rFonts w:ascii="Calibri" w:hAnsi="Calibri" w:cs="Calibri"/>
          <w:b/>
          <w:bCs/>
          <w:sz w:val="28"/>
          <w:szCs w:val="28"/>
        </w:rPr>
      </w:pPr>
      <w:r w:rsidRPr="006F3FBC">
        <w:rPr>
          <w:rFonts w:ascii="Calibri" w:hAnsi="Calibri" w:cs="Calibri"/>
          <w:b/>
          <w:bCs/>
          <w:sz w:val="28"/>
          <w:szCs w:val="28"/>
        </w:rPr>
        <w:t>Section 7 - Peer Review and Evaluation</w:t>
      </w:r>
    </w:p>
    <w:p w:rsidR="006F3FBC" w:rsidP="006F3FBC" w:rsidRDefault="006F3FBC" w14:paraId="36C927C6" w14:textId="77777777">
      <w:pPr>
        <w:spacing w:after="120"/>
      </w:pPr>
      <w:r>
        <w:t xml:space="preserve">It is inappropriate to delegate evaluation or assessment of outputs, grant applications or student theses to </w:t>
      </w:r>
      <w:proofErr w:type="gramStart"/>
      <w:r>
        <w:t>gen</w:t>
      </w:r>
      <w:proofErr w:type="gramEnd"/>
      <w:r>
        <w:t xml:space="preserve"> AI tools.</w:t>
      </w:r>
    </w:p>
    <w:p w:rsidR="006F3FBC" w:rsidP="006F3FBC" w:rsidRDefault="006F3FBC" w14:paraId="5E07A96D" w14:textId="77777777">
      <w:pPr>
        <w:spacing w:after="120"/>
      </w:pPr>
      <w:r>
        <w:t>Reviewers engaged in peer review activities must treat submissions to journals and funding bodies in-confidence and not disclose any information under reviews. The use of gen AI tools for peer review activities is likely to compromise the confidentiality of the material and breach agreements.</w:t>
      </w:r>
    </w:p>
    <w:p w:rsidR="006F3FBC" w:rsidP="006F3FBC" w:rsidRDefault="006F3FBC" w14:paraId="66FB93E9" w14:textId="77777777">
      <w:pPr>
        <w:spacing w:after="120"/>
      </w:pPr>
    </w:p>
    <w:p w:rsidRPr="006F3FBC" w:rsidR="006F3FBC" w:rsidP="006F3FBC" w:rsidRDefault="006F3FBC" w14:paraId="5C663F43" w14:textId="77777777">
      <w:pPr>
        <w:spacing w:after="120"/>
        <w:rPr>
          <w:rFonts w:ascii="Calibri" w:hAnsi="Calibri" w:cs="Calibri"/>
          <w:b/>
          <w:bCs/>
          <w:sz w:val="28"/>
          <w:szCs w:val="28"/>
        </w:rPr>
      </w:pPr>
      <w:r w:rsidRPr="006F3FBC">
        <w:rPr>
          <w:rFonts w:ascii="Calibri" w:hAnsi="Calibri" w:cs="Calibri"/>
          <w:b/>
          <w:bCs/>
          <w:sz w:val="28"/>
          <w:szCs w:val="28"/>
        </w:rPr>
        <w:t>Section 8 – Higher Degree by Research</w:t>
      </w:r>
    </w:p>
    <w:p w:rsidR="006F3FBC" w:rsidP="006F3FBC" w:rsidRDefault="006F3FBC" w14:paraId="5995E393" w14:textId="77777777">
      <w:pPr>
        <w:spacing w:after="120"/>
      </w:pPr>
      <w:r>
        <w:t xml:space="preserve">Consistent with information provided in these Guidelines, HDR students may use gen AI where appropriate, ensuring they observe expected standards of integrity in the conduct of research as specified in relevant policies and codes. </w:t>
      </w:r>
    </w:p>
    <w:p w:rsidR="006F3FBC" w:rsidP="33F30569" w:rsidRDefault="006F3FBC" w14:paraId="6648705E" w14:textId="15D176A6">
      <w:pPr>
        <w:pStyle w:val="Normal"/>
        <w:spacing w:after="120"/>
      </w:pPr>
      <w:r w:rsidR="006F3FBC">
        <w:rPr/>
        <w:t xml:space="preserve">Students must first consult with their supervisor on the benefits and risks of using gen AI tools and develop a plan that outlines how the tool will be used, its intended impact on the research quality and how principles of research integrity will be </w:t>
      </w:r>
      <w:r w:rsidR="006F3FBC">
        <w:rPr/>
        <w:t>observed</w:t>
      </w:r>
      <w:r w:rsidR="006F3FBC">
        <w:rPr/>
        <w:t xml:space="preserve">. </w:t>
      </w:r>
    </w:p>
    <w:p w:rsidR="006F3FBC" w:rsidP="006F3FBC" w:rsidRDefault="006F3FBC" w14:paraId="040BAA8E" w14:textId="77777777">
      <w:pPr>
        <w:spacing w:after="120"/>
      </w:pPr>
      <w:r>
        <w:t xml:space="preserve">Students are expected to write their thesis independently under the direction of their supervisor. AI must not be used to produce academic content. Nor must it be used for the translation of content written by the student in a language other than English, as students are required to demonstrate they meet English Language requirements in admission to the HDR program. </w:t>
      </w:r>
    </w:p>
    <w:p w:rsidR="006F3FBC" w:rsidP="006F3FBC" w:rsidRDefault="006F3FBC" w14:paraId="4E9ACC59" w14:textId="77777777">
      <w:pPr>
        <w:spacing w:after="120"/>
      </w:pPr>
      <w:r>
        <w:t xml:space="preserve">Subject to supervisor consultation, the use of gen AI in the written thesis may be appropriate for editing and proofreading purposes, such as correcting grammatical, spelling and typographical errors, ensuring clarity of expression and formatting. </w:t>
      </w:r>
    </w:p>
    <w:p w:rsidR="006F3FBC" w:rsidP="006F3FBC" w:rsidRDefault="006F3FBC" w14:paraId="239E461B" w14:textId="77777777">
      <w:pPr>
        <w:spacing w:after="120"/>
      </w:pPr>
      <w:r>
        <w:t xml:space="preserve">In instances where a published output forms part of the thesis, the output must comply with the standards specified in these Guidelines as well as the </w:t>
      </w:r>
      <w:r w:rsidRPr="6A79B7AC">
        <w:rPr>
          <w:i/>
          <w:iCs/>
        </w:rPr>
        <w:t>Authorship and Dissemination of Research Procedure</w:t>
      </w:r>
      <w:r>
        <w:t>.</w:t>
      </w:r>
    </w:p>
    <w:p w:rsidR="006F3FBC" w:rsidP="006F3FBC" w:rsidRDefault="006F3FBC" w14:paraId="09F43023" w14:textId="77777777">
      <w:pPr>
        <w:spacing w:after="120"/>
      </w:pPr>
      <w:r>
        <w:t xml:space="preserve">Consistent with requirements specified in Section 6, students must maintain records of gen AI use. In addition, they must include a statement on their use of gen AI in the acknowledgement pages of the thesis. </w:t>
      </w:r>
    </w:p>
    <w:p w:rsidR="006F3FBC" w:rsidRDefault="006F3FBC" w14:paraId="1FD6FF38" w14:textId="1609CF81">
      <w:r>
        <w:br w:type="page"/>
      </w:r>
    </w:p>
    <w:p w:rsidR="00F7200E" w:rsidP="006F3FBC" w:rsidRDefault="00F7200E" w14:paraId="7A365264" w14:textId="77777777">
      <w:pPr>
        <w:spacing w:after="120"/>
        <w:rPr>
          <w:rFonts w:asciiTheme="minorHAnsi" w:hAnsiTheme="minorHAnsi" w:cstheme="minorHAnsi"/>
          <w:b/>
          <w:bCs/>
          <w:sz w:val="28"/>
          <w:szCs w:val="28"/>
        </w:rPr>
      </w:pPr>
    </w:p>
    <w:p w:rsidR="00F7200E" w:rsidP="006F3FBC" w:rsidRDefault="00F7200E" w14:paraId="562100F7" w14:textId="77777777">
      <w:pPr>
        <w:spacing w:after="120"/>
        <w:rPr>
          <w:rFonts w:asciiTheme="minorHAnsi" w:hAnsiTheme="minorHAnsi" w:cstheme="minorHAnsi"/>
          <w:b/>
          <w:bCs/>
          <w:sz w:val="28"/>
          <w:szCs w:val="28"/>
        </w:rPr>
      </w:pPr>
    </w:p>
    <w:p w:rsidR="00F7200E" w:rsidP="006F3FBC" w:rsidRDefault="00F7200E" w14:paraId="6363B444" w14:textId="77777777">
      <w:pPr>
        <w:spacing w:after="120"/>
        <w:rPr>
          <w:rFonts w:asciiTheme="minorHAnsi" w:hAnsiTheme="minorHAnsi" w:cstheme="minorHAnsi"/>
          <w:b/>
          <w:bCs/>
          <w:sz w:val="28"/>
          <w:szCs w:val="28"/>
        </w:rPr>
      </w:pPr>
    </w:p>
    <w:p w:rsidRPr="006F3FBC" w:rsidR="006F3FBC" w:rsidP="006F3FBC" w:rsidRDefault="006F3FBC" w14:paraId="43BD497E" w14:textId="4B2EF46C">
      <w:pPr>
        <w:spacing w:after="120"/>
        <w:rPr>
          <w:rFonts w:asciiTheme="minorHAnsi" w:hAnsiTheme="minorHAnsi" w:cstheme="minorHAnsi"/>
          <w:sz w:val="28"/>
          <w:szCs w:val="28"/>
        </w:rPr>
      </w:pPr>
      <w:r w:rsidRPr="006F3FBC">
        <w:rPr>
          <w:rFonts w:asciiTheme="minorHAnsi" w:hAnsiTheme="minorHAnsi" w:cstheme="minorHAnsi"/>
          <w:b/>
          <w:bCs/>
          <w:sz w:val="28"/>
          <w:szCs w:val="28"/>
        </w:rPr>
        <w:t xml:space="preserve">Appendix: Resources </w:t>
      </w:r>
    </w:p>
    <w:p w:rsidR="006F3FBC" w:rsidP="006F3FBC" w:rsidRDefault="006F3FBC" w14:paraId="4FB948DB" w14:textId="77777777">
      <w:pPr>
        <w:spacing w:after="120"/>
        <w:rPr>
          <w:b/>
          <w:bCs/>
        </w:rPr>
      </w:pPr>
    </w:p>
    <w:p w:rsidR="006F3FBC" w:rsidP="006F3FBC" w:rsidRDefault="006F3FBC" w14:paraId="122CCA7C" w14:textId="77777777">
      <w:pPr>
        <w:spacing w:after="120"/>
        <w:rPr>
          <w:b/>
          <w:bCs/>
        </w:rPr>
      </w:pPr>
      <w:r w:rsidRPr="5980F32F">
        <w:rPr>
          <w:b/>
          <w:bCs/>
        </w:rPr>
        <w:t>Example of researcher declaration of use of AI for journal publication</w:t>
      </w:r>
    </w:p>
    <w:p w:rsidR="006F3FBC" w:rsidP="006F3FBC" w:rsidRDefault="006F3FBC" w14:paraId="5B60B11D" w14:textId="77777777">
      <w:pPr>
        <w:spacing w:after="120"/>
        <w:rPr>
          <w:i/>
          <w:iCs/>
        </w:rPr>
      </w:pPr>
      <w:r w:rsidRPr="15FB4338">
        <w:rPr>
          <w:i/>
          <w:iCs/>
        </w:rPr>
        <w:t xml:space="preserve">During manuscript preparation, the </w:t>
      </w:r>
      <w:proofErr w:type="gramStart"/>
      <w:r w:rsidRPr="15FB4338">
        <w:rPr>
          <w:i/>
          <w:iCs/>
        </w:rPr>
        <w:t>author/s</w:t>
      </w:r>
      <w:proofErr w:type="gramEnd"/>
      <w:r w:rsidRPr="15FB4338">
        <w:rPr>
          <w:i/>
          <w:iCs/>
        </w:rPr>
        <w:t xml:space="preserve"> used [tool name and version] to assist with [literature search, data synthesis, readability </w:t>
      </w:r>
      <w:proofErr w:type="spellStart"/>
      <w:r w:rsidRPr="15FB4338">
        <w:rPr>
          <w:i/>
          <w:iCs/>
        </w:rPr>
        <w:t>etc</w:t>
      </w:r>
      <w:proofErr w:type="spellEnd"/>
      <w:r w:rsidRPr="15FB4338">
        <w:rPr>
          <w:i/>
          <w:iCs/>
        </w:rPr>
        <w:t xml:space="preserve">]. After using this tool, the </w:t>
      </w:r>
      <w:proofErr w:type="gramStart"/>
      <w:r w:rsidRPr="15FB4338">
        <w:rPr>
          <w:i/>
          <w:iCs/>
        </w:rPr>
        <w:t>author/s</w:t>
      </w:r>
      <w:proofErr w:type="gramEnd"/>
      <w:r w:rsidRPr="15FB4338">
        <w:rPr>
          <w:i/>
          <w:iCs/>
        </w:rPr>
        <w:t xml:space="preserve"> reviewed and verified the content and </w:t>
      </w:r>
      <w:proofErr w:type="gramStart"/>
      <w:r w:rsidRPr="15FB4338">
        <w:rPr>
          <w:i/>
          <w:iCs/>
        </w:rPr>
        <w:t>take</w:t>
      </w:r>
      <w:proofErr w:type="gramEnd"/>
      <w:r w:rsidRPr="15FB4338">
        <w:rPr>
          <w:i/>
          <w:iCs/>
        </w:rPr>
        <w:t xml:space="preserve"> full responsibility for the content of this output.</w:t>
      </w:r>
    </w:p>
    <w:p w:rsidR="006F3FBC" w:rsidP="006F3FBC" w:rsidRDefault="006F3FBC" w14:paraId="27779CF9" w14:textId="77777777">
      <w:pPr>
        <w:spacing w:after="120"/>
        <w:rPr>
          <w:b/>
          <w:bCs/>
        </w:rPr>
      </w:pPr>
    </w:p>
    <w:p w:rsidRPr="00F640FE" w:rsidR="006F3FBC" w:rsidP="006F3FBC" w:rsidRDefault="006F3FBC" w14:paraId="32CDC477" w14:textId="77777777">
      <w:pPr>
        <w:spacing w:after="120"/>
        <w:rPr>
          <w:b/>
          <w:bCs/>
        </w:rPr>
      </w:pPr>
      <w:r w:rsidRPr="5980F32F">
        <w:rPr>
          <w:b/>
          <w:bCs/>
        </w:rPr>
        <w:t>Example of HDR student acknowledgement statement:</w:t>
      </w:r>
    </w:p>
    <w:p w:rsidR="006F3FBC" w:rsidP="006F3FBC" w:rsidRDefault="006F3FBC" w14:paraId="1AF6D210" w14:textId="77777777">
      <w:pPr>
        <w:spacing w:after="120"/>
        <w:rPr>
          <w:i/>
          <w:iCs/>
        </w:rPr>
      </w:pPr>
      <w:r w:rsidRPr="5980F32F">
        <w:rPr>
          <w:i/>
          <w:iCs/>
        </w:rPr>
        <w:t xml:space="preserve">I declare that generative AI tools were used in the preparation of this thesis for language editing and improving clarity and readability. </w:t>
      </w:r>
      <w:r w:rsidRPr="5980F32F">
        <w:rPr>
          <w:rFonts w:ascii="Calibri" w:hAnsi="Calibri" w:eastAsia="Calibri" w:cs="Calibri"/>
          <w:i/>
          <w:iCs/>
          <w:szCs w:val="22"/>
          <w:lang w:val="en-AU"/>
        </w:rPr>
        <w:t xml:space="preserve">Logs of use including dates are available upon request. </w:t>
      </w:r>
      <w:r w:rsidRPr="5980F32F">
        <w:rPr>
          <w:i/>
          <w:iCs/>
        </w:rPr>
        <w:t xml:space="preserve">All substantive content, including the research design, methods, analysis, results and interpretations is my own work and has been reviewed and verified by me under the direction of my supervisor. </w:t>
      </w:r>
    </w:p>
    <w:p w:rsidRPr="00F744DB" w:rsidR="006F3FBC" w:rsidP="006F3FBC" w:rsidRDefault="006F3FBC" w14:paraId="09E57892" w14:textId="77777777">
      <w:pPr>
        <w:spacing w:after="120"/>
        <w:rPr>
          <w:rFonts w:ascii="Calibri" w:hAnsi="Calibri" w:eastAsia="Calibri" w:cs="Calibri"/>
          <w:i/>
          <w:iCs/>
        </w:rPr>
      </w:pPr>
      <w:r w:rsidRPr="15FB4338">
        <w:rPr>
          <w:rFonts w:ascii="Calibri" w:hAnsi="Calibri" w:eastAsia="Calibri" w:cs="Calibri"/>
          <w:i/>
          <w:iCs/>
          <w:szCs w:val="22"/>
          <w:lang w:val="en-AU"/>
        </w:rPr>
        <w:t>Generative AI was used to create the diagrams provided within this thesis. Prompts and applications used for generation of diagrams are noted in the footnote of each image.</w:t>
      </w:r>
    </w:p>
    <w:p w:rsidR="006F3FBC" w:rsidP="006F3FBC" w:rsidRDefault="006F3FBC" w14:paraId="434F3AD4" w14:textId="77777777">
      <w:pPr>
        <w:spacing w:after="120"/>
        <w:rPr>
          <w:b/>
          <w:bCs/>
        </w:rPr>
      </w:pPr>
    </w:p>
    <w:p w:rsidR="006F3FBC" w:rsidP="006F3FBC" w:rsidRDefault="006F3FBC" w14:paraId="51909CEC" w14:textId="77777777">
      <w:pPr>
        <w:spacing w:after="120"/>
        <w:rPr>
          <w:b/>
          <w:bCs/>
        </w:rPr>
      </w:pPr>
      <w:r w:rsidRPr="15FB4338">
        <w:rPr>
          <w:b/>
          <w:bCs/>
        </w:rPr>
        <w:t>Examples of grant funding body guidance and positions</w:t>
      </w:r>
    </w:p>
    <w:p w:rsidR="006F3FBC" w:rsidP="006F3FBC" w:rsidRDefault="006F3FBC" w14:paraId="33E0F5A2" w14:textId="77777777">
      <w:pPr>
        <w:spacing w:after="120"/>
      </w:pPr>
      <w:hyperlink r:id="rId12">
        <w:r w:rsidRPr="15FB4338">
          <w:rPr>
            <w:rStyle w:val="Hyperlink"/>
          </w:rPr>
          <w:t>ARC Policy on Use of Generative Artificial Intelligence in the ARC’s grants program</w:t>
        </w:r>
      </w:hyperlink>
    </w:p>
    <w:p w:rsidR="006F3FBC" w:rsidP="006F3FBC" w:rsidRDefault="006F3FBC" w14:paraId="583C10E8" w14:textId="77777777">
      <w:pPr>
        <w:spacing w:after="120"/>
      </w:pPr>
      <w:hyperlink r:id="rId13">
        <w:r w:rsidRPr="15FB4338">
          <w:rPr>
            <w:rStyle w:val="Hyperlink"/>
          </w:rPr>
          <w:t>NHMRC Policy on Use of Generative Artificial Intelligence in Grant Applications and Peer Review</w:t>
        </w:r>
      </w:hyperlink>
    </w:p>
    <w:p w:rsidR="006F3FBC" w:rsidP="006F3FBC" w:rsidRDefault="006F3FBC" w14:paraId="116A3845" w14:textId="77777777">
      <w:pPr>
        <w:spacing w:after="120"/>
      </w:pPr>
    </w:p>
    <w:p w:rsidR="00BC1E5A" w:rsidP="00710665" w:rsidRDefault="00BC1E5A" w14:paraId="6DC902A8" w14:textId="77777777"/>
    <w:p w:rsidR="00F7200E" w:rsidP="6CB50F2A" w:rsidRDefault="00F7200E" w14:paraId="498EA3C8" w14:textId="4E875732">
      <w:pPr>
        <w:pStyle w:val="Normal"/>
        <w:rPr>
          <w:b w:val="1"/>
          <w:bCs w:val="1"/>
        </w:rPr>
      </w:pPr>
    </w:p>
    <w:p w:rsidRPr="000C2C85" w:rsidR="000C2C85" w:rsidP="6CB50F2A" w:rsidRDefault="000C2C85" w14:paraId="48DC26BC" w14:textId="71390835">
      <w:pPr>
        <w:pStyle w:val="Normal"/>
        <w:rPr>
          <w:b w:val="1"/>
          <w:bCs w:val="1"/>
        </w:rPr>
      </w:pPr>
    </w:p>
    <w:p w:rsidR="00FA7EA6" w:rsidP="00710665" w:rsidRDefault="00F7200E" w14:paraId="3045F624" w14:textId="7D26EA0D"/>
    <w:p w:rsidR="00BC1E5A" w:rsidP="00710665" w:rsidRDefault="00BC1E5A" w14:paraId="4E4FDBBE" w14:textId="77777777"/>
    <w:p w:rsidR="00BC1E5A" w:rsidP="00710665" w:rsidRDefault="00BC1E5A" w14:paraId="6FB0A49F" w14:textId="77777777"/>
    <w:p w:rsidR="00BC1E5A" w:rsidP="00710665" w:rsidRDefault="00BC1E5A" w14:paraId="63A0F7F5" w14:textId="77777777"/>
    <w:p w:rsidR="00BC1E5A" w:rsidP="00710665" w:rsidRDefault="00BC1E5A" w14:paraId="34DD5A82" w14:textId="77777777"/>
    <w:p w:rsidR="00BC1E5A" w:rsidP="2EEE2C6E" w:rsidRDefault="00BC1E5A" w14:paraId="3B06A853" w14:textId="4C01FDFE">
      <w:pPr>
        <w:pStyle w:val="Normal"/>
      </w:pPr>
    </w:p>
    <w:sectPr w:rsidR="00BC1E5A" w:rsidSect="00D12340">
      <w:headerReference w:type="even" r:id="rId15"/>
      <w:headerReference w:type="default" r:id="rId16"/>
      <w:footerReference w:type="default" r:id="rId17"/>
      <w:headerReference w:type="first" r:id="rId18"/>
      <w:footerReference w:type="first" r:id="rId19"/>
      <w:pgSz w:w="11900" w:h="16840" w:orient="portrait"/>
      <w:pgMar w:top="1315" w:right="1315" w:bottom="1701" w:left="1315" w:header="850"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24A4" w:rsidP="00452E05" w:rsidRDefault="006624A4" w14:paraId="313DFE0A" w14:textId="77777777">
      <w:r>
        <w:separator/>
      </w:r>
    </w:p>
  </w:endnote>
  <w:endnote w:type="continuationSeparator" w:id="0">
    <w:p w:rsidR="006624A4" w:rsidP="00452E05" w:rsidRDefault="006624A4" w14:paraId="01C90A9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Times New Roman (Headings CS)">
    <w:altName w:val="Times New Roman"/>
    <w:charset w:val="00"/>
    <w:family w:val="roman"/>
    <w:pitch w:val="default"/>
  </w:font>
  <w:font w:name="DIN-Ligh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62BC1" w:rsidR="001B5BCC" w:rsidP="00C62BC1" w:rsidRDefault="00C62BC1" w14:paraId="72A5DDD5" w14:textId="6AB92E83">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00AF3225">
      <w:rPr>
        <w:rFonts w:cstheme="majorHAnsi"/>
        <w:color w:val="000000" w:themeColor="text1"/>
        <w:sz w:val="20"/>
        <w:szCs w:val="20"/>
        <w:lang w:val="en-GB"/>
      </w:rPr>
      <w:tab/>
    </w:r>
    <w:r w:rsidR="00AF3225">
      <w:rPr>
        <w:rFonts w:cstheme="majorHAnsi"/>
        <w:color w:val="000000" w:themeColor="text1"/>
        <w:sz w:val="20"/>
        <w:szCs w:val="20"/>
        <w:lang w:val="en-GB"/>
      </w:rPr>
      <w:tab/>
    </w:r>
    <w:r w:rsidR="00AF3225">
      <w:rPr>
        <w:rFonts w:cstheme="majorHAnsi"/>
        <w:color w:val="000000" w:themeColor="text1"/>
        <w:sz w:val="20"/>
        <w:szCs w:val="20"/>
        <w:lang w:val="en-GB"/>
      </w:rPr>
      <w:tab/>
    </w:r>
    <w:r w:rsidR="00AF3225">
      <w:rPr>
        <w:rFonts w:cstheme="majorHAnsi"/>
        <w:color w:val="000000" w:themeColor="text1"/>
        <w:sz w:val="20"/>
        <w:szCs w:val="20"/>
        <w:lang w:val="en-GB"/>
      </w:rPr>
      <w:tab/>
    </w:r>
    <w:r w:rsidR="00AF3225">
      <w:rPr>
        <w:rFonts w:cstheme="majorHAnsi"/>
        <w:color w:val="000000" w:themeColor="text1"/>
        <w:sz w:val="20"/>
        <w:szCs w:val="20"/>
        <w:lang w:val="en-GB"/>
      </w:rPr>
      <w:tab/>
    </w:r>
    <w:r w:rsidR="00AF3225">
      <w:rPr>
        <w:rFonts w:cstheme="majorHAnsi"/>
        <w:color w:val="000000" w:themeColor="text1"/>
        <w:sz w:val="20"/>
        <w:szCs w:val="20"/>
        <w:lang w:val="en-GB"/>
      </w:rPr>
      <w:tab/>
    </w:r>
    <w:r w:rsidR="00AF3225">
      <w:rPr>
        <w:rFonts w:cstheme="majorHAnsi"/>
        <w:color w:val="000000" w:themeColor="text1"/>
        <w:sz w:val="20"/>
        <w:szCs w:val="20"/>
        <w:lang w:val="en-GB"/>
      </w:rPr>
      <w:tab/>
    </w:r>
    <w:r w:rsidR="00AF3225">
      <w:rPr>
        <w:rFonts w:cstheme="majorHAnsi"/>
        <w:color w:val="000000" w:themeColor="text1"/>
        <w:sz w:val="20"/>
        <w:szCs w:val="20"/>
        <w:lang w:val="en-GB"/>
      </w:rPr>
      <w:tab/>
    </w:r>
    <w:r w:rsidR="00AF3225">
      <w:rPr>
        <w:rFonts w:cstheme="majorHAnsi"/>
        <w:color w:val="000000" w:themeColor="text1"/>
        <w:sz w:val="20"/>
        <w:szCs w:val="20"/>
        <w:lang w:val="en-GB"/>
      </w:rPr>
      <w:tab/>
    </w:r>
    <w:r w:rsidR="00AF3225">
      <w:rPr>
        <w:rFonts w:cstheme="majorHAnsi"/>
        <w:color w:val="000000" w:themeColor="text1"/>
        <w:sz w:val="20"/>
        <w:szCs w:val="20"/>
        <w:lang w:val="en-GB"/>
      </w:rPr>
      <w:t>Last update 26/3/2026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C2C66" w:rsidR="00EC2C66" w:rsidP="00EC2C66" w:rsidRDefault="00EC2C66" w14:paraId="68334568" w14:textId="52954064">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24A4" w:rsidP="00452E05" w:rsidRDefault="006624A4" w14:paraId="65C6E3BC" w14:textId="77777777">
      <w:r>
        <w:separator/>
      </w:r>
    </w:p>
  </w:footnote>
  <w:footnote w:type="continuationSeparator" w:id="0">
    <w:p w:rsidR="006624A4" w:rsidP="00452E05" w:rsidRDefault="006624A4" w14:paraId="2DDE3F6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BC1" w:rsidRDefault="00000000" w14:paraId="0F0A9C6B" w14:textId="5C748CC6">
    <w:pPr>
      <w:pStyle w:val="Header"/>
    </w:pPr>
    <w:r>
      <w:rPr>
        <w:noProof/>
      </w:rPr>
      <w:pict w14:anchorId="7E49809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172954" style="position:absolute;margin-left:0;margin-top:0;width:595.5pt;height:842pt;z-index:-251657216;mso-position-horizontal:center;mso-position-horizontal-relative:margin;mso-position-vertical:center;mso-position-vertical-relative:margin" o:spid="_x0000_s1031" o:allowincell="f" type="#_x0000_t75">
          <v:imagedata o:title="Artboard 2 copy 22"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97830" w:rsidR="00397830" w:rsidP="00397830" w:rsidRDefault="00BC1E5A" w14:paraId="098BF19D" w14:textId="5344D5AA">
    <w:pPr>
      <w:pStyle w:val="Header"/>
      <w:tabs>
        <w:tab w:val="clear" w:pos="4680"/>
        <w:tab w:val="clear" w:pos="9360"/>
      </w:tabs>
      <w:rPr>
        <w:noProof/>
        <w:szCs w:val="20"/>
      </w:rPr>
    </w:pPr>
    <w:r>
      <w:rPr>
        <w:noProof/>
        <w:szCs w:val="20"/>
      </w:rPr>
      <w:drawing>
        <wp:anchor distT="0" distB="0" distL="114300" distR="114300" simplePos="0" relativeHeight="251661312" behindDoc="1" locked="0" layoutInCell="1" allowOverlap="1" wp14:anchorId="0F50EB98" wp14:editId="477E35D2">
          <wp:simplePos x="0" y="0"/>
          <wp:positionH relativeFrom="margin">
            <wp:posOffset>-857999</wp:posOffset>
          </wp:positionH>
          <wp:positionV relativeFrom="paragraph">
            <wp:posOffset>-558800</wp:posOffset>
          </wp:positionV>
          <wp:extent cx="7562329" cy="10696575"/>
          <wp:effectExtent l="0" t="0" r="635" b="0"/>
          <wp:wrapNone/>
          <wp:docPr id="1376003227" name="Picture 1" descr="A red circl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003227" name="Picture 1" descr="A red circle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90389" cy="1073626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2340" w:rsidRDefault="00000000" w14:paraId="0D8F3997" w14:textId="54FEBF1F">
    <w:pPr>
      <w:pStyle w:val="Header"/>
    </w:pPr>
    <w:r>
      <w:rPr>
        <w:noProof/>
      </w:rPr>
      <w:pict w14:anchorId="4BF6F72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172953" style="position:absolute;margin-left:0;margin-top:0;width:595.5pt;height:842pt;z-index:-251658240;mso-position-horizontal:center;mso-position-horizontal-relative:margin;mso-position-vertical:center;mso-position-vertical-relative:margin" o:spid="_x0000_s1030" o:allowincell="f" type="#_x0000_t75">
          <v:imagedata o:title="Artboard 2 copy 22"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D88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64A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1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E5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A6A0B0"/>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2A5EBA00"/>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0FB4E9B4"/>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3F089A2A"/>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BFDCF8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7E76A6C"/>
    <w:multiLevelType w:val="hybridMultilevel"/>
    <w:tmpl w:val="0D90B5E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1" w15:restartNumberingAfterBreak="0">
    <w:nsid w:val="60B42977"/>
    <w:multiLevelType w:val="hybridMultilevel"/>
    <w:tmpl w:val="EFEA682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654014C8"/>
    <w:multiLevelType w:val="hybridMultilevel"/>
    <w:tmpl w:val="68A85A76"/>
    <w:lvl w:ilvl="0" w:tplc="E29C2084">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671101395">
    <w:abstractNumId w:val="0"/>
  </w:num>
  <w:num w:numId="2" w16cid:durableId="925456489">
    <w:abstractNumId w:val="1"/>
  </w:num>
  <w:num w:numId="3" w16cid:durableId="1292903162">
    <w:abstractNumId w:val="2"/>
  </w:num>
  <w:num w:numId="4" w16cid:durableId="1012754740">
    <w:abstractNumId w:val="3"/>
  </w:num>
  <w:num w:numId="5" w16cid:durableId="828210425">
    <w:abstractNumId w:val="8"/>
  </w:num>
  <w:num w:numId="6" w16cid:durableId="460612853">
    <w:abstractNumId w:val="4"/>
  </w:num>
  <w:num w:numId="7" w16cid:durableId="343165499">
    <w:abstractNumId w:val="5"/>
  </w:num>
  <w:num w:numId="8" w16cid:durableId="1305431502">
    <w:abstractNumId w:val="6"/>
  </w:num>
  <w:num w:numId="9" w16cid:durableId="84500063">
    <w:abstractNumId w:val="7"/>
  </w:num>
  <w:num w:numId="10" w16cid:durableId="564685422">
    <w:abstractNumId w:val="9"/>
  </w:num>
  <w:num w:numId="11" w16cid:durableId="355621944">
    <w:abstractNumId w:val="10"/>
  </w:num>
  <w:num w:numId="12" w16cid:durableId="1564952069">
    <w:abstractNumId w:val="12"/>
  </w:num>
  <w:num w:numId="13" w16cid:durableId="164319719">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452E05"/>
    <w:rsid w:val="0000037A"/>
    <w:rsid w:val="00000A01"/>
    <w:rsid w:val="00007598"/>
    <w:rsid w:val="000332D9"/>
    <w:rsid w:val="00047135"/>
    <w:rsid w:val="00062DA2"/>
    <w:rsid w:val="000B34E8"/>
    <w:rsid w:val="000C2C85"/>
    <w:rsid w:val="000D6105"/>
    <w:rsid w:val="000F11E5"/>
    <w:rsid w:val="00127477"/>
    <w:rsid w:val="001B5BCC"/>
    <w:rsid w:val="0029790B"/>
    <w:rsid w:val="00347E6A"/>
    <w:rsid w:val="0037485F"/>
    <w:rsid w:val="00384C2A"/>
    <w:rsid w:val="00397830"/>
    <w:rsid w:val="003B2ABE"/>
    <w:rsid w:val="003E30BF"/>
    <w:rsid w:val="00406DC1"/>
    <w:rsid w:val="004135F6"/>
    <w:rsid w:val="00444794"/>
    <w:rsid w:val="00452E05"/>
    <w:rsid w:val="00476905"/>
    <w:rsid w:val="00494903"/>
    <w:rsid w:val="005021EC"/>
    <w:rsid w:val="00520109"/>
    <w:rsid w:val="005364A9"/>
    <w:rsid w:val="005564DE"/>
    <w:rsid w:val="005B1C72"/>
    <w:rsid w:val="005B6F71"/>
    <w:rsid w:val="005C0733"/>
    <w:rsid w:val="005E6863"/>
    <w:rsid w:val="00630192"/>
    <w:rsid w:val="006624A4"/>
    <w:rsid w:val="006F3FBC"/>
    <w:rsid w:val="00710665"/>
    <w:rsid w:val="00725256"/>
    <w:rsid w:val="00752E7B"/>
    <w:rsid w:val="007D0B7D"/>
    <w:rsid w:val="007E32A1"/>
    <w:rsid w:val="007E4752"/>
    <w:rsid w:val="00802D3E"/>
    <w:rsid w:val="008326DE"/>
    <w:rsid w:val="008B50DC"/>
    <w:rsid w:val="008C382A"/>
    <w:rsid w:val="0091760E"/>
    <w:rsid w:val="00924A6A"/>
    <w:rsid w:val="0094044D"/>
    <w:rsid w:val="009D673D"/>
    <w:rsid w:val="00A12CCE"/>
    <w:rsid w:val="00A3382D"/>
    <w:rsid w:val="00A72D40"/>
    <w:rsid w:val="00AF3225"/>
    <w:rsid w:val="00B658DB"/>
    <w:rsid w:val="00B9245E"/>
    <w:rsid w:val="00BC1E5A"/>
    <w:rsid w:val="00BE0325"/>
    <w:rsid w:val="00C62BC1"/>
    <w:rsid w:val="00D12340"/>
    <w:rsid w:val="00DA6CF7"/>
    <w:rsid w:val="00DF18F7"/>
    <w:rsid w:val="00DF47F4"/>
    <w:rsid w:val="00E266F6"/>
    <w:rsid w:val="00E44A4D"/>
    <w:rsid w:val="00E64461"/>
    <w:rsid w:val="00E81C8A"/>
    <w:rsid w:val="00E82E56"/>
    <w:rsid w:val="00E944C1"/>
    <w:rsid w:val="00EC2C66"/>
    <w:rsid w:val="00EE1994"/>
    <w:rsid w:val="00F7200E"/>
    <w:rsid w:val="00FA07CA"/>
    <w:rsid w:val="00FA7EA6"/>
    <w:rsid w:val="2D3D25FF"/>
    <w:rsid w:val="2EEE2C6E"/>
    <w:rsid w:val="33F30569"/>
    <w:rsid w:val="5CBB2313"/>
    <w:rsid w:val="6CB50F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F15CE"/>
  <w15:chartTrackingRefBased/>
  <w15:docId w15:val="{5D3E3FC1-5B18-774B-AD36-C8E00A4EF95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lsdException w:name="heading 4" w:uiPriority="9" w:semiHidden="1" w:unhideWhenUsed="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3382D"/>
    <w:rPr>
      <w:rFonts w:cs="Times New Roman (Body CS)" w:asciiTheme="majorHAnsi" w:hAnsiTheme="majorHAnsi" w:eastAsiaTheme="minorEastAsia"/>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cs="Arial" w:eastAsiaTheme="minorHAnsi"/>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styleId="HeaderChar" w:customStyle="1">
    <w:name w:val="Header Char"/>
    <w:basedOn w:val="DefaultParagraphFont"/>
    <w:link w:val="Header"/>
    <w:uiPriority w:val="99"/>
    <w:rsid w:val="00802D3E"/>
    <w:rPr>
      <w:rFonts w:asciiTheme="majorHAnsi" w:hAnsiTheme="majorHAnsi" w:eastAsiaTheme="minorEastAsia"/>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styleId="FooterChar" w:customStyle="1">
    <w:name w:val="Footer Char"/>
    <w:basedOn w:val="DefaultParagraphFont"/>
    <w:link w:val="Footer"/>
    <w:uiPriority w:val="99"/>
    <w:rsid w:val="000332D9"/>
    <w:rPr>
      <w:rFonts w:asciiTheme="majorHAnsi" w:hAnsiTheme="majorHAnsi" w:eastAsiaTheme="minorEastAsia"/>
      <w:sz w:val="16"/>
      <w:lang w:val="en-US"/>
    </w:rPr>
  </w:style>
  <w:style w:type="paragraph" w:styleId="BasicParagraph" w:customStyle="1">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styleId="Heading2Char" w:customStyle="1">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styleId="Heading1Char" w:customStyle="1">
    <w:name w:val="Heading 1 Char"/>
    <w:basedOn w:val="DefaultParagraphFont"/>
    <w:link w:val="Heading1"/>
    <w:uiPriority w:val="9"/>
    <w:rsid w:val="00007598"/>
    <w:rPr>
      <w:rFonts w:cs="Times New Roman (Body CS)" w:eastAsiaTheme="minorEastAsia"/>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007598"/>
    <w:pPr>
      <w:spacing w:after="40"/>
      <w:contextualSpacing/>
    </w:pPr>
    <w:rPr>
      <w:rFonts w:cs="Times New Roman (Headings CS)" w:asciiTheme="minorHAnsi" w:hAnsiTheme="minorHAnsi" w:eastAsiaTheme="majorEastAsia"/>
      <w:b/>
      <w:color w:val="201645" w:themeColor="background2"/>
      <w:kern w:val="28"/>
      <w:sz w:val="48"/>
      <w:szCs w:val="56"/>
    </w:rPr>
  </w:style>
  <w:style w:type="character" w:styleId="TitleChar" w:customStyle="1">
    <w:name w:val="Title Char"/>
    <w:basedOn w:val="DefaultParagraphFont"/>
    <w:link w:val="Title"/>
    <w:uiPriority w:val="10"/>
    <w:rsid w:val="00007598"/>
    <w:rPr>
      <w:rFonts w:cs="Times New Roman (Headings CS)" w:eastAsiaTheme="majorEastAsia"/>
      <w:b/>
      <w:color w:val="201645" w:themeColor="background2"/>
      <w:kern w:val="28"/>
      <w:sz w:val="48"/>
      <w:szCs w:val="56"/>
      <w:lang w:val="en-US"/>
    </w:rPr>
  </w:style>
  <w:style w:type="character" w:styleId="Heading3Char" w:customStyle="1">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styleId="SubtitleChar" w:customStyle="1">
    <w:name w:val="Subtitle Char"/>
    <w:basedOn w:val="DefaultParagraphFont"/>
    <w:link w:val="Subtitle"/>
    <w:uiPriority w:val="11"/>
    <w:rsid w:val="00630192"/>
    <w:rPr>
      <w:rFonts w:cs="Times New Roman (Body CS)" w:asciiTheme="majorHAnsi" w:hAnsiTheme="majorHAnsi" w:eastAsiaTheme="minorEastAsia"/>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styleId="QuoteChar" w:customStyle="1">
    <w:name w:val="Quote Char"/>
    <w:basedOn w:val="DefaultParagraphFont"/>
    <w:link w:val="Quote"/>
    <w:uiPriority w:val="29"/>
    <w:rsid w:val="00A3382D"/>
    <w:rPr>
      <w:rFonts w:asciiTheme="majorHAnsi" w:hAnsiTheme="majorHAnsi" w:eastAsiaTheme="minorEastAsia"/>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color="201645" w:themeColor="background2" w:sz="4" w:space="10"/>
        <w:bottom w:val="single" w:color="201645" w:themeColor="background2" w:sz="4" w:space="10"/>
      </w:pBdr>
      <w:spacing w:before="360" w:after="360"/>
      <w:ind w:left="864" w:right="864"/>
      <w:jc w:val="center"/>
    </w:pPr>
    <w:rPr>
      <w:rFonts w:cstheme="minorBidi"/>
      <w:i/>
      <w:iCs/>
      <w:color w:val="201645" w:themeColor="background2"/>
    </w:rPr>
  </w:style>
  <w:style w:type="character" w:styleId="IntenseQuoteChar" w:customStyle="1">
    <w:name w:val="Intense Quote Char"/>
    <w:basedOn w:val="DefaultParagraphFont"/>
    <w:link w:val="IntenseQuote"/>
    <w:uiPriority w:val="30"/>
    <w:rsid w:val="00A3382D"/>
    <w:rPr>
      <w:rFonts w:asciiTheme="majorHAnsi" w:hAnsiTheme="majorHAnsi" w:eastAsiaTheme="minorEastAsia"/>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styleId="Heading4Char" w:customStyle="1">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styleId="Heading5Char" w:customStyle="1">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styleId="Heading6Char" w:customStyle="1">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styleId="Heading7Char" w:customStyle="1">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styleId="Heading8Char" w:customStyle="1">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styleId="Heading9Char" w:customStyle="1">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styleId="Subhead" w:customStyle="1">
    <w:name w:val="Subhead"/>
    <w:next w:val="Normal"/>
    <w:qFormat/>
    <w:rsid w:val="00007598"/>
    <w:pPr>
      <w:spacing w:after="240"/>
    </w:pPr>
    <w:rPr>
      <w:rFonts w:cs="Arial" w:asciiTheme="majorHAnsi" w:hAnsiTheme="majorHAnsi"/>
      <w:color w:val="201645" w:themeColor="background2"/>
      <w:sz w:val="40"/>
      <w:szCs w:val="22"/>
    </w:rPr>
  </w:style>
  <w:style w:type="paragraph" w:styleId="ListBullet">
    <w:name w:val="List Bullet"/>
    <w:basedOn w:val="Normal"/>
    <w:uiPriority w:val="99"/>
    <w:unhideWhenUsed/>
    <w:qFormat/>
    <w:rsid w:val="00007598"/>
    <w:pPr>
      <w:numPr>
        <w:numId w:val="10"/>
      </w:numPr>
      <w:spacing w:before="40" w:after="40"/>
      <w:ind w:left="714" w:hanging="357"/>
      <w:contextualSpacing/>
    </w:pPr>
  </w:style>
  <w:style w:type="character" w:styleId="CommentReference">
    <w:name w:val="Comment Reference"/>
    <w:basedOn w:val="DefaultParagraphFont"/>
    <w:uiPriority w:val="99"/>
    <w:semiHidden/>
    <w:unhideWhenUsed/>
    <w:rsid w:val="006F3FBC"/>
    <w:rPr>
      <w:sz w:val="16"/>
      <w:szCs w:val="16"/>
    </w:rPr>
  </w:style>
  <w:style w:type="paragraph" w:styleId="CommentText">
    <w:name w:val="Comment Text"/>
    <w:basedOn w:val="Normal"/>
    <w:link w:val="CommentTextChar"/>
    <w:uiPriority w:val="99"/>
    <w:semiHidden/>
    <w:unhideWhenUsed/>
    <w:rsid w:val="006F3FBC"/>
    <w:pPr>
      <w:spacing w:after="160"/>
    </w:pPr>
    <w:rPr>
      <w:rFonts w:asciiTheme="minorHAnsi" w:hAnsiTheme="minorHAnsi" w:eastAsiaTheme="minorHAnsi" w:cstheme="minorBidi"/>
      <w:color w:val="auto"/>
      <w:sz w:val="20"/>
      <w:szCs w:val="20"/>
      <w:lang w:val="en-AU"/>
    </w:rPr>
  </w:style>
  <w:style w:type="character" w:styleId="CommentTextChar" w:customStyle="1">
    <w:name w:val="Comment Text Char"/>
    <w:basedOn w:val="DefaultParagraphFont"/>
    <w:link w:val="CommentText"/>
    <w:uiPriority w:val="99"/>
    <w:semiHidden/>
    <w:rsid w:val="006F3FBC"/>
    <w:rPr>
      <w:sz w:val="20"/>
      <w:szCs w:val="20"/>
    </w:rPr>
  </w:style>
  <w:style w:type="table" w:styleId="TableGrid">
    <w:name w:val="Table Grid"/>
    <w:basedOn w:val="TableNormal"/>
    <w:uiPriority w:val="39"/>
    <w:rsid w:val="000C2C8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FA7E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olicies.cdu.edu.au/directory/summary.php?code=2" TargetMode="External" Id="rId8" /><Relationship Type="http://schemas.openxmlformats.org/officeDocument/2006/relationships/hyperlink" Target="https://www.nhmrc.gov.au/about-us/resources/policy-use-generative-artificial-intelligence" TargetMode="External" Id="rId13" /><Relationship Type="http://schemas.openxmlformats.org/officeDocument/2006/relationships/header" Target="header3.xm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hyperlink" Target="https://www.arc.gov.au/sites/default/files/2023-07/Policy%20on%20Use%20of%20Generative%20Artificial%20Intelligence%20in%20the%20ARCs%20grants%20programs%202023.pdf" TargetMode="External" Id="rId12" /><Relationship Type="http://schemas.openxmlformats.org/officeDocument/2006/relationships/footer" Target="footer1.xml" Id="rId17" /><Relationship Type="http://schemas.openxmlformats.org/officeDocument/2006/relationships/numbering" Target="numbering.xml" Id="rId2" /><Relationship Type="http://schemas.openxmlformats.org/officeDocument/2006/relationships/header" Target="header2.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policies.cdu.edu.au/view-current.php?id=243" TargetMode="External" Id="rId11" /><Relationship Type="http://schemas.openxmlformats.org/officeDocument/2006/relationships/customXml" Target="../customXml/item4.xml" Id="rId24" /><Relationship Type="http://schemas.openxmlformats.org/officeDocument/2006/relationships/webSettings" Target="webSettings.xml" Id="rId5" /><Relationship Type="http://schemas.openxmlformats.org/officeDocument/2006/relationships/header" Target="header1.xml" Id="rId15" /><Relationship Type="http://schemas.openxmlformats.org/officeDocument/2006/relationships/customXml" Target="../customXml/item3.xml" Id="rId23" /><Relationship Type="http://schemas.openxmlformats.org/officeDocument/2006/relationships/hyperlink" Target="https://policies.cdu.edu.au/view-current.php?id=34" TargetMode="External" Id="rId10" /><Relationship Type="http://schemas.openxmlformats.org/officeDocument/2006/relationships/footer" Target="footer2.xml" Id="rId19" /><Relationship Type="http://schemas.openxmlformats.org/officeDocument/2006/relationships/settings" Target="settings.xml" Id="rId4" /><Relationship Type="http://schemas.openxmlformats.org/officeDocument/2006/relationships/customXml" Target="../customXml/item2.xml" Id="rId22" /><Relationship Type="http://schemas.openxmlformats.org/officeDocument/2006/relationships/hyperlink" Target="https://libguides.cdu.edu.au/RDM/dataclassification" TargetMode="External" Id="Rd64c3ab376f2493f"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thm15="http://schemas.microsoft.com/office/thememl/2012/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EE39908A5C6E4985D727FEBCCB8163" ma:contentTypeVersion="15" ma:contentTypeDescription="Create a new document." ma:contentTypeScope="" ma:versionID="0d3b7b17c80df3c0e4ed310b312642c5">
  <xsd:schema xmlns:xsd="http://www.w3.org/2001/XMLSchema" xmlns:xs="http://www.w3.org/2001/XMLSchema" xmlns:p="http://schemas.microsoft.com/office/2006/metadata/properties" xmlns:ns2="dc856745-3b2b-4043-a026-663682a05ff3" xmlns:ns3="7fd19806-11af-4087-99e2-f57bbf0fa655" targetNamespace="http://schemas.microsoft.com/office/2006/metadata/properties" ma:root="true" ma:fieldsID="419ff4eba5819907e40a0467ee70f9d4" ns2:_="" ns3:_="">
    <xsd:import namespace="dc856745-3b2b-4043-a026-663682a05ff3"/>
    <xsd:import namespace="7fd19806-11af-4087-99e2-f57bbf0fa6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856745-3b2b-4043-a026-663682a05f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22b89b3-2ca0-4510-b0e2-27491883cbfb}" ma:internalName="TaxCatchAll" ma:showField="CatchAllData" ma:web="dc856745-3b2b-4043-a026-663682a05ff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d19806-11af-4087-99e2-f57bbf0fa6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85a206b-fc84-4f46-8343-fed2d1d570c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d19806-11af-4087-99e2-f57bbf0fa655">
      <Terms xmlns="http://schemas.microsoft.com/office/infopath/2007/PartnerControls"/>
    </lcf76f155ced4ddcb4097134ff3c332f>
    <TaxCatchAll xmlns="dc856745-3b2b-4043-a026-663682a05ff3" xsi:nil="true"/>
  </documentManagement>
</p:properties>
</file>

<file path=customXml/itemProps1.xml><?xml version="1.0" encoding="utf-8"?>
<ds:datastoreItem xmlns:ds="http://schemas.openxmlformats.org/officeDocument/2006/customXml" ds:itemID="{BE9BADE9-A263-4D20-B9E2-C82D264C2127}">
  <ds:schemaRefs>
    <ds:schemaRef ds:uri="http://schemas.openxmlformats.org/officeDocument/2006/bibliography"/>
  </ds:schemaRefs>
</ds:datastoreItem>
</file>

<file path=customXml/itemProps2.xml><?xml version="1.0" encoding="utf-8"?>
<ds:datastoreItem xmlns:ds="http://schemas.openxmlformats.org/officeDocument/2006/customXml" ds:itemID="{421B66BB-083B-49F2-A555-D1AFE66350D8}"/>
</file>

<file path=customXml/itemProps3.xml><?xml version="1.0" encoding="utf-8"?>
<ds:datastoreItem xmlns:ds="http://schemas.openxmlformats.org/officeDocument/2006/customXml" ds:itemID="{94F6BAA6-3512-42ED-ACEF-D78BE3819E02}"/>
</file>

<file path=customXml/itemProps4.xml><?xml version="1.0" encoding="utf-8"?>
<ds:datastoreItem xmlns:ds="http://schemas.openxmlformats.org/officeDocument/2006/customXml" ds:itemID="{6DAF0AF2-4D02-44A9-9A43-AD1A39928F5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Ksenia Sawczak</dc:creator>
  <keywords/>
  <dc:description/>
  <lastModifiedBy>Ksenia Sawczak</lastModifiedBy>
  <revision>10</revision>
  <lastPrinted>2019-11-04T23:10:00.0000000Z</lastPrinted>
  <dcterms:created xsi:type="dcterms:W3CDTF">2026-03-26T03:03:00.0000000Z</dcterms:created>
  <dcterms:modified xsi:type="dcterms:W3CDTF">2026-05-05T05:22:48.6616257Z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3605ebfe47f89f4edfe35a9f64902931fbb1b53533f7e5ebe7f1656ff8118f45</vt:lpwstr>
  </property>
  <property fmtid="{D5CDD505-2E9C-101B-9397-08002B2CF9AE}" pid="3" name="ContentTypeId">
    <vt:lpwstr>0x01010075EE39908A5C6E4985D727FEBCCB8163</vt:lpwstr>
  </property>
  <property fmtid="{D5CDD505-2E9C-101B-9397-08002B2CF9AE}" pid="4" name="MediaServiceImageTags">
    <vt:lpwstr/>
  </property>
</Properties>
</file>